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43F7" w14:textId="6B5E7799" w:rsidR="00B93DC0" w:rsidRDefault="00562315" w:rsidP="00BE1525">
      <w:pPr>
        <w:spacing w:after="0"/>
        <w:ind w:left="-850" w:right="-850"/>
        <w:rPr>
          <w:rStyle w:val="Heading1Char"/>
        </w:rPr>
      </w:pPr>
      <w:r>
        <w:rPr>
          <w:noProof/>
        </w:rPr>
        <w:t xml:space="preserve">                                                                   </w:t>
      </w:r>
      <w:r w:rsidR="00D84A12">
        <w:rPr>
          <w:noProof/>
        </w:rPr>
        <w:drawing>
          <wp:inline distT="0" distB="0" distL="0" distR="0" wp14:anchorId="2B9616D6" wp14:editId="37F6DC8B">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2DA2ECE2" wp14:editId="1500025B">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p>
    <w:p w14:paraId="32791EAF" w14:textId="49BA9EEA" w:rsidR="00117CCA" w:rsidRDefault="00B93DC0" w:rsidP="00C03B4F">
      <w:pPr>
        <w:spacing w:after="0"/>
        <w:ind w:left="-850" w:right="-850"/>
        <w:rPr>
          <w:rFonts w:asciiTheme="majorHAnsi" w:eastAsiaTheme="majorEastAsia" w:hAnsiTheme="majorHAnsi" w:cstheme="majorBidi"/>
          <w:color w:val="2F5496" w:themeColor="accent1" w:themeShade="BF"/>
          <w:sz w:val="32"/>
          <w:szCs w:val="32"/>
        </w:rPr>
      </w:pPr>
      <w:r w:rsidRPr="45F563C9">
        <w:rPr>
          <w:rFonts w:asciiTheme="majorHAnsi" w:eastAsiaTheme="majorEastAsia" w:hAnsiTheme="majorHAnsi" w:cstheme="majorBidi"/>
          <w:color w:val="2F5496" w:themeColor="accent1" w:themeShade="BF"/>
          <w:sz w:val="32"/>
          <w:szCs w:val="32"/>
        </w:rPr>
        <w:t xml:space="preserve">          </w:t>
      </w:r>
      <w:r>
        <w:tab/>
      </w:r>
      <w:r>
        <w:tab/>
      </w:r>
      <w:bookmarkStart w:id="0" w:name="_Hlk57123760"/>
    </w:p>
    <w:p w14:paraId="00A4AE77" w14:textId="4226BBB5" w:rsidR="00F25E74" w:rsidRPr="00F25E74" w:rsidRDefault="00F25E74" w:rsidP="0098446D">
      <w:pPr>
        <w:spacing w:after="0"/>
        <w:ind w:left="-454" w:right="-850" w:firstLine="85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Strategic Consultancy</w:t>
      </w:r>
      <w:r w:rsidR="00B93DC0" w:rsidRPr="00B93DC0">
        <w:rPr>
          <w:rFonts w:asciiTheme="majorHAnsi" w:eastAsiaTheme="majorEastAsia" w:hAnsiTheme="majorHAnsi" w:cstheme="majorBidi"/>
          <w:color w:val="2F5496" w:themeColor="accent1" w:themeShade="BF"/>
          <w:sz w:val="32"/>
          <w:szCs w:val="32"/>
        </w:rPr>
        <w:t xml:space="preserve"> Assignment Guidelines</w:t>
      </w:r>
      <w:r>
        <w:rPr>
          <w:rFonts w:asciiTheme="majorHAnsi" w:eastAsiaTheme="majorEastAsia" w:hAnsiTheme="majorHAnsi" w:cstheme="majorBidi"/>
          <w:color w:val="2F5496" w:themeColor="accent1" w:themeShade="BF"/>
          <w:sz w:val="32"/>
          <w:szCs w:val="32"/>
        </w:rPr>
        <w:t xml:space="preserve"> </w:t>
      </w:r>
      <w:r w:rsidR="00962916">
        <w:rPr>
          <w:rFonts w:asciiTheme="majorHAnsi" w:eastAsiaTheme="majorEastAsia" w:hAnsiTheme="majorHAnsi" w:cstheme="majorBidi"/>
          <w:color w:val="2F5496" w:themeColor="accent1" w:themeShade="BF"/>
          <w:sz w:val="32"/>
          <w:szCs w:val="32"/>
        </w:rPr>
        <w:t>–</w:t>
      </w:r>
      <w:r>
        <w:rPr>
          <w:rFonts w:asciiTheme="majorHAnsi" w:eastAsiaTheme="majorEastAsia" w:hAnsiTheme="majorHAnsi" w:cstheme="majorBidi"/>
          <w:color w:val="2F5496" w:themeColor="accent1" w:themeShade="BF"/>
          <w:sz w:val="32"/>
          <w:szCs w:val="32"/>
        </w:rPr>
        <w:t xml:space="preserve"> </w:t>
      </w:r>
      <w:r w:rsidR="003C715F">
        <w:rPr>
          <w:rFonts w:asciiTheme="majorHAnsi" w:eastAsiaTheme="majorEastAsia" w:hAnsiTheme="majorHAnsi" w:cstheme="majorBidi"/>
          <w:color w:val="2F5496" w:themeColor="accent1" w:themeShade="BF"/>
          <w:sz w:val="32"/>
          <w:szCs w:val="32"/>
        </w:rPr>
        <w:t>Sustainability/Environmental Studies</w:t>
      </w:r>
      <w:r w:rsidR="00971775">
        <w:rPr>
          <w:rFonts w:asciiTheme="majorHAnsi" w:eastAsiaTheme="majorEastAsia" w:hAnsiTheme="majorHAnsi" w:cstheme="majorBidi"/>
          <w:color w:val="2F5496" w:themeColor="accent1" w:themeShade="BF"/>
          <w:sz w:val="32"/>
          <w:szCs w:val="32"/>
        </w:rPr>
        <w:t xml:space="preserve"> Pre-Investment</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804"/>
        <w:gridCol w:w="6096"/>
      </w:tblGrid>
      <w:tr w:rsidR="00B93DC0" w:rsidRPr="00B93DC0" w14:paraId="5A244BA4" w14:textId="77777777" w:rsidTr="0012387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096"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1238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096"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12387F">
        <w:trPr>
          <w:trHeight w:val="397"/>
        </w:trPr>
        <w:tc>
          <w:tcPr>
            <w:cnfStyle w:val="001000000000" w:firstRow="0" w:lastRow="0" w:firstColumn="1" w:lastColumn="0" w:oddVBand="0" w:evenVBand="0" w:oddHBand="0" w:evenHBand="0" w:firstRowFirstColumn="0" w:firstRowLastColumn="0" w:lastRowFirstColumn="0" w:lastRowLastColumn="0"/>
            <w:tcW w:w="6804" w:type="dxa"/>
          </w:tcPr>
          <w:p w14:paraId="3F3AA1A4" w14:textId="0418F242"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r w:rsidR="00F25E74">
              <w:rPr>
                <w:rFonts w:asciiTheme="majorHAnsi" w:eastAsiaTheme="majorEastAsia" w:hAnsiTheme="majorHAnsi" w:cstheme="majorBidi"/>
                <w:color w:val="000000" w:themeColor="text1"/>
                <w:sz w:val="24"/>
                <w:szCs w:val="24"/>
                <w:lang w:eastAsia="en-IE"/>
              </w:rPr>
              <w:t>Strategic Consultancy</w:t>
            </w:r>
            <w:r w:rsidR="00670D39">
              <w:rPr>
                <w:rFonts w:asciiTheme="majorHAnsi" w:eastAsiaTheme="majorEastAsia" w:hAnsiTheme="majorHAnsi" w:cstheme="majorBidi"/>
                <w:color w:val="000000" w:themeColor="text1"/>
                <w:sz w:val="24"/>
                <w:szCs w:val="24"/>
                <w:lang w:eastAsia="en-IE"/>
              </w:rPr>
              <w:t xml:space="preserve"> Interim &amp; </w:t>
            </w:r>
            <w:r w:rsidR="0012387F">
              <w:rPr>
                <w:rFonts w:asciiTheme="majorHAnsi" w:eastAsiaTheme="majorEastAsia" w:hAnsiTheme="majorHAnsi" w:cstheme="majorBidi"/>
                <w:color w:val="000000" w:themeColor="text1"/>
                <w:sz w:val="24"/>
                <w:szCs w:val="24"/>
                <w:lang w:eastAsia="en-IE"/>
              </w:rPr>
              <w:t xml:space="preserve">Final </w:t>
            </w:r>
            <w:r w:rsidR="00670D39">
              <w:rPr>
                <w:rFonts w:asciiTheme="majorHAnsi" w:eastAsiaTheme="majorEastAsia" w:hAnsiTheme="majorHAnsi" w:cstheme="majorBidi"/>
                <w:color w:val="000000" w:themeColor="text1"/>
                <w:sz w:val="24"/>
                <w:szCs w:val="24"/>
                <w:lang w:eastAsia="en-IE"/>
              </w:rPr>
              <w:t>Progress</w:t>
            </w:r>
            <w:r w:rsidRPr="00B93DC0">
              <w:rPr>
                <w:rFonts w:asciiTheme="majorHAnsi" w:eastAsiaTheme="majorEastAsia" w:hAnsiTheme="majorHAnsi" w:cstheme="majorBidi"/>
                <w:color w:val="000000" w:themeColor="text1"/>
                <w:sz w:val="24"/>
                <w:szCs w:val="24"/>
                <w:lang w:eastAsia="en-IE"/>
              </w:rPr>
              <w:t xml:space="preserve"> Report &amp; Claim</w:t>
            </w:r>
          </w:p>
        </w:tc>
        <w:tc>
          <w:tcPr>
            <w:cnfStyle w:val="000100000000" w:firstRow="0" w:lastRow="0" w:firstColumn="0" w:lastColumn="1" w:oddVBand="0" w:evenVBand="0" w:oddHBand="0" w:evenHBand="0" w:firstRowFirstColumn="0" w:firstRowLastColumn="0" w:lastRowFirstColumn="0" w:lastRowLastColumn="0"/>
            <w:tcW w:w="6096"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1238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096"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12387F">
        <w:trPr>
          <w:trHeight w:val="397"/>
        </w:trPr>
        <w:tc>
          <w:tcPr>
            <w:cnfStyle w:val="001000000000" w:firstRow="0" w:lastRow="0" w:firstColumn="1" w:lastColumn="0" w:oddVBand="0" w:evenVBand="0" w:oddHBand="0" w:evenHBand="0" w:firstRowFirstColumn="0" w:firstRowLastColumn="0" w:lastRowFirstColumn="0" w:lastRowLastColumn="0"/>
            <w:tcW w:w="6804" w:type="dxa"/>
          </w:tcPr>
          <w:p w14:paraId="592D9CB6" w14:textId="3D1BF81B" w:rsidR="00857502" w:rsidRPr="00B93DC0" w:rsidRDefault="00857502" w:rsidP="00B93DC0">
            <w:pPr>
              <w:rPr>
                <w:rFonts w:cstheme="minorHAnsi"/>
                <w:color w:val="000000" w:themeColor="text1"/>
              </w:rPr>
            </w:pPr>
            <w:r>
              <w:rPr>
                <w:rFonts w:cstheme="minorHAnsi"/>
                <w:color w:val="000000" w:themeColor="text1"/>
              </w:rPr>
              <w:t xml:space="preserve">5 </w:t>
            </w:r>
            <w:r w:rsidR="00F25E74" w:rsidRPr="00F25E74">
              <w:rPr>
                <w:rFonts w:cstheme="minorHAnsi"/>
                <w:color w:val="000000" w:themeColor="text1"/>
              </w:rPr>
              <w:t>Eligible Companies</w:t>
            </w:r>
          </w:p>
        </w:tc>
        <w:tc>
          <w:tcPr>
            <w:cnfStyle w:val="000100000000" w:firstRow="0" w:lastRow="0" w:firstColumn="0" w:lastColumn="1" w:oddVBand="0" w:evenVBand="0" w:oddHBand="0" w:evenHBand="0" w:firstRowFirstColumn="0" w:firstRowLastColumn="0" w:lastRowFirstColumn="0" w:lastRowLastColumn="0"/>
            <w:tcW w:w="6096" w:type="dxa"/>
          </w:tcPr>
          <w:p w14:paraId="45E1E5E2" w14:textId="60F5EE58" w:rsidR="00857502" w:rsidRPr="00B93DC0" w:rsidRDefault="00D06C6C" w:rsidP="00B93DC0">
            <w:pPr>
              <w:jc w:val="center"/>
              <w:rPr>
                <w:rFonts w:cstheme="minorHAnsi"/>
              </w:rPr>
            </w:pPr>
            <w:r>
              <w:rPr>
                <w:rFonts w:cstheme="minorHAnsi"/>
              </w:rPr>
              <w:t>4</w:t>
            </w:r>
          </w:p>
        </w:tc>
      </w:tr>
      <w:tr w:rsidR="00F25E74" w:rsidRPr="00B93DC0" w14:paraId="32447424" w14:textId="77777777" w:rsidTr="001238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33D404A3" w14:textId="413054FC" w:rsidR="00F25E74" w:rsidRDefault="00F25E74" w:rsidP="00B93DC0">
            <w:pPr>
              <w:rPr>
                <w:rFonts w:cstheme="minorHAnsi"/>
                <w:color w:val="000000" w:themeColor="text1"/>
              </w:rPr>
            </w:pPr>
            <w:r>
              <w:rPr>
                <w:rFonts w:cstheme="minorHAnsi"/>
                <w:color w:val="000000" w:themeColor="text1"/>
              </w:rPr>
              <w:t>6 Ineligible Activities</w:t>
            </w:r>
          </w:p>
        </w:tc>
        <w:tc>
          <w:tcPr>
            <w:cnfStyle w:val="000100000000" w:firstRow="0" w:lastRow="0" w:firstColumn="0" w:lastColumn="1" w:oddVBand="0" w:evenVBand="0" w:oddHBand="0" w:evenHBand="0" w:firstRowFirstColumn="0" w:firstRowLastColumn="0" w:lastRowFirstColumn="0" w:lastRowLastColumn="0"/>
            <w:tcW w:w="6096" w:type="dxa"/>
          </w:tcPr>
          <w:p w14:paraId="67C2ABC4" w14:textId="61F31E48" w:rsidR="00F25E74" w:rsidRDefault="00F25E74" w:rsidP="00B93DC0">
            <w:pPr>
              <w:jc w:val="center"/>
              <w:rPr>
                <w:rFonts w:cstheme="minorHAnsi"/>
              </w:rPr>
            </w:pPr>
            <w:r>
              <w:rPr>
                <w:rFonts w:cstheme="minorHAnsi"/>
              </w:rPr>
              <w:t>4</w:t>
            </w:r>
          </w:p>
        </w:tc>
      </w:tr>
      <w:tr w:rsidR="00F25E74" w:rsidRPr="00B93DC0" w14:paraId="67A2EF92" w14:textId="77777777" w:rsidTr="0012387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57B80A69" w14:textId="5390166A" w:rsidR="00F25E74" w:rsidRDefault="00F25E74" w:rsidP="00B93DC0">
            <w:pPr>
              <w:rPr>
                <w:rFonts w:cstheme="minorHAnsi"/>
                <w:color w:val="000000" w:themeColor="text1"/>
              </w:rPr>
            </w:pPr>
            <w:r>
              <w:rPr>
                <w:rFonts w:cstheme="minorHAnsi"/>
                <w:color w:val="000000" w:themeColor="text1"/>
              </w:rPr>
              <w:t xml:space="preserve">7 </w:t>
            </w:r>
            <w:r w:rsidR="00945DDC" w:rsidRPr="00945DDC">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096" w:type="dxa"/>
          </w:tcPr>
          <w:p w14:paraId="4A74385C" w14:textId="081C4307" w:rsidR="00F25E74" w:rsidRDefault="00E07A09" w:rsidP="00B93DC0">
            <w:pPr>
              <w:jc w:val="center"/>
              <w:rPr>
                <w:rFonts w:cstheme="minorHAnsi"/>
              </w:rPr>
            </w:pPr>
            <w:r>
              <w:rPr>
                <w:rFonts w:cstheme="minorHAnsi"/>
              </w:rPr>
              <w:t>5</w:t>
            </w:r>
          </w:p>
        </w:tc>
      </w:tr>
    </w:tbl>
    <w:p w14:paraId="26246D46" w14:textId="38284C9F" w:rsidR="00B93DC0" w:rsidRDefault="00B93DC0" w:rsidP="00BE1525">
      <w:pPr>
        <w:spacing w:after="0"/>
        <w:ind w:left="-850" w:right="-850"/>
        <w:rPr>
          <w:rStyle w:val="Heading1Char"/>
        </w:rPr>
      </w:pPr>
    </w:p>
    <w:p w14:paraId="401B4AEB" w14:textId="6BF55DA4" w:rsidR="00B93DC0" w:rsidRDefault="00B93DC0" w:rsidP="0012387F">
      <w:pPr>
        <w:spacing w:after="0"/>
        <w:ind w:right="-850"/>
        <w:rPr>
          <w:rStyle w:val="Heading1Char"/>
        </w:rPr>
      </w:pPr>
    </w:p>
    <w:p w14:paraId="5441CC15" w14:textId="77777777" w:rsidR="00E55F85" w:rsidRDefault="00E55F85" w:rsidP="0012387F">
      <w:pPr>
        <w:spacing w:after="0"/>
        <w:ind w:right="-850"/>
        <w:rPr>
          <w:rStyle w:val="Heading1Char"/>
        </w:rPr>
      </w:pPr>
    </w:p>
    <w:p w14:paraId="2A0CF890" w14:textId="77777777" w:rsidR="00E55F85" w:rsidRDefault="00E55F85" w:rsidP="0012387F">
      <w:pPr>
        <w:spacing w:after="0"/>
        <w:ind w:right="-850"/>
        <w:rPr>
          <w:rStyle w:val="Heading1Char"/>
        </w:rPr>
      </w:pPr>
    </w:p>
    <w:p w14:paraId="2F8056C0" w14:textId="77777777" w:rsidR="00E55F85" w:rsidRDefault="00E55F85" w:rsidP="0012387F">
      <w:pPr>
        <w:spacing w:after="0"/>
        <w:ind w:right="-850"/>
        <w:rPr>
          <w:rStyle w:val="Heading1Char"/>
        </w:rPr>
      </w:pPr>
    </w:p>
    <w:p w14:paraId="5A2C71E6" w14:textId="77777777" w:rsidR="00E55F85" w:rsidRDefault="00E55F85" w:rsidP="0012387F">
      <w:pPr>
        <w:spacing w:after="0"/>
        <w:ind w:right="-850"/>
        <w:rPr>
          <w:rStyle w:val="Heading1Char"/>
        </w:rPr>
      </w:pPr>
    </w:p>
    <w:p w14:paraId="541D3458" w14:textId="62FBEBE3" w:rsidR="00042EF7" w:rsidRDefault="00971775" w:rsidP="00971775">
      <w:pPr>
        <w:tabs>
          <w:tab w:val="left" w:pos="12000"/>
        </w:tabs>
        <w:spacing w:after="0"/>
        <w:ind w:right="-85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ab/>
      </w:r>
    </w:p>
    <w:p w14:paraId="05D4999C" w14:textId="69AABA3F" w:rsidR="00042EF7" w:rsidRDefault="001F19F4" w:rsidP="00042EF7">
      <w:pPr>
        <w:spacing w:after="0"/>
        <w:ind w:left="2750" w:right="-850" w:firstLine="850"/>
        <w:rPr>
          <w:rStyle w:val="Heading1Char"/>
        </w:rPr>
      </w:pPr>
      <w:r w:rsidRPr="001F19F4">
        <w:rPr>
          <w:rFonts w:asciiTheme="majorHAnsi" w:eastAsiaTheme="majorEastAsia" w:hAnsiTheme="majorHAnsi" w:cstheme="majorBidi"/>
          <w:color w:val="2F5496" w:themeColor="accent1" w:themeShade="BF"/>
          <w:sz w:val="32"/>
          <w:szCs w:val="32"/>
        </w:rPr>
        <w:lastRenderedPageBreak/>
        <w:t xml:space="preserve">Strategic Consultancy </w:t>
      </w:r>
      <w:r w:rsidR="00042EF7" w:rsidRPr="00B93DC0">
        <w:rPr>
          <w:rFonts w:asciiTheme="majorHAnsi" w:eastAsiaTheme="majorEastAsia" w:hAnsiTheme="majorHAnsi" w:cstheme="majorBidi"/>
          <w:color w:val="2F5496" w:themeColor="accent1" w:themeShade="BF"/>
          <w:sz w:val="32"/>
          <w:szCs w:val="32"/>
        </w:rPr>
        <w:t>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15B7C24F" w:rsidR="009B64EB" w:rsidRDefault="009B64EB" w:rsidP="00BE1525">
      <w:pPr>
        <w:spacing w:after="0"/>
        <w:ind w:left="-850" w:right="-850"/>
      </w:pPr>
      <w:r>
        <w:t>1.1</w:t>
      </w:r>
      <w:r>
        <w:tab/>
        <w:t xml:space="preserve">The company contacts their Enterprise Ireland </w:t>
      </w:r>
      <w:r w:rsidR="00E50A5E">
        <w:t>Client</w:t>
      </w:r>
      <w:r>
        <w:t xml:space="preserve"> Advisor to discuss their eligibility for </w:t>
      </w:r>
      <w:bookmarkStart w:id="1" w:name="_Hlk106613052"/>
      <w:r w:rsidR="001F19F4">
        <w:t>Strategic Consultancy</w:t>
      </w:r>
      <w:r>
        <w:t xml:space="preserve"> </w:t>
      </w:r>
      <w:bookmarkEnd w:id="1"/>
      <w:r>
        <w:t xml:space="preserve">funding support.  </w:t>
      </w:r>
    </w:p>
    <w:p w14:paraId="445DB8B3" w14:textId="273E2C72" w:rsidR="009B64EB" w:rsidRDefault="009B64EB" w:rsidP="008068AC">
      <w:pPr>
        <w:spacing w:after="0"/>
        <w:ind w:right="-850" w:hanging="850"/>
      </w:pPr>
      <w:r>
        <w:t>1.2</w:t>
      </w:r>
      <w:r>
        <w:tab/>
        <w:t xml:space="preserve">The company may be invited to apply online for </w:t>
      </w:r>
      <w:r w:rsidR="001F19F4">
        <w:t xml:space="preserve">Strategic Consultancy </w:t>
      </w:r>
      <w:r>
        <w:t>funding.</w:t>
      </w:r>
      <w:r w:rsidR="008068AC" w:rsidRPr="008068AC">
        <w:t xml:space="preserve"> </w:t>
      </w:r>
      <w:r w:rsidR="008068AC" w:rsidRPr="00934200">
        <w:t>Prior to submitting an application, a ‘draft’ application may be shared on the online application portal with the client advisor and green team (</w:t>
      </w:r>
      <w:hyperlink r:id="rId13" w:history="1">
        <w:r w:rsidR="008068AC" w:rsidRPr="00A723EF">
          <w:rPr>
            <w:rStyle w:val="Hyperlink"/>
          </w:rPr>
          <w:t>green@enterprise-ireland.com</w:t>
        </w:r>
      </w:hyperlink>
      <w:r w:rsidR="008068AC" w:rsidRPr="00934200">
        <w:t>) for review and feedback.</w:t>
      </w:r>
    </w:p>
    <w:p w14:paraId="5A83829E" w14:textId="77777777" w:rsidR="009B64EB" w:rsidRDefault="009B64EB" w:rsidP="00BE1525">
      <w:pPr>
        <w:spacing w:after="0"/>
        <w:ind w:left="-850" w:right="-850"/>
      </w:pPr>
      <w:r>
        <w:t>1.3</w:t>
      </w:r>
      <w:r>
        <w:tab/>
        <w:t>Applications are subject to an evaluation process.</w:t>
      </w:r>
    </w:p>
    <w:p w14:paraId="0236CE34" w14:textId="77777777" w:rsidR="009B64EB" w:rsidRDefault="009B64EB" w:rsidP="00BE1525">
      <w:pPr>
        <w:spacing w:after="0"/>
        <w:ind w:left="-850" w:right="-850"/>
      </w:pPr>
      <w:r>
        <w:t>1.4</w:t>
      </w:r>
      <w:r>
        <w:tab/>
        <w:t xml:space="preserve">The client will be notified of the decision, normally within 3 - 4 weeks. </w:t>
      </w:r>
    </w:p>
    <w:p w14:paraId="0B915C76" w14:textId="77777777" w:rsidR="009B64EB" w:rsidRDefault="009B64EB" w:rsidP="00BE1525">
      <w:pPr>
        <w:spacing w:after="0"/>
        <w:ind w:left="-850" w:right="-850"/>
      </w:pPr>
      <w:r>
        <w:t>1.5</w:t>
      </w:r>
      <w:r>
        <w:tab/>
        <w:t xml:space="preserve">On approval, a ‘Letter of Offer’ will be emailed to the company. </w:t>
      </w:r>
    </w:p>
    <w:p w14:paraId="6294DDDB" w14:textId="77777777" w:rsidR="009B64EB" w:rsidRDefault="009B64EB" w:rsidP="00BE1525">
      <w:pPr>
        <w:spacing w:after="0"/>
        <w:ind w:left="-850" w:right="-850"/>
      </w:pPr>
      <w:r>
        <w:t xml:space="preserve">1.6 </w:t>
      </w:r>
      <w:r>
        <w:tab/>
        <w:t xml:space="preserve">To accept the offer the Letter must be signed and returned by the company’s </w:t>
      </w:r>
      <w:proofErr w:type="spellStart"/>
      <w:r>
        <w:t>Authorised</w:t>
      </w:r>
      <w:proofErr w:type="spellEnd"/>
      <w:r>
        <w:t xml:space="preserve"> Officer.</w:t>
      </w:r>
    </w:p>
    <w:p w14:paraId="730B439E" w14:textId="7A7E01FA" w:rsidR="009B64EB" w:rsidRDefault="009B64EB" w:rsidP="009E5614">
      <w:pPr>
        <w:spacing w:after="0"/>
        <w:ind w:left="-850" w:right="-850"/>
      </w:pPr>
      <w:r>
        <w:t>1.7</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275C9478" w:rsidR="009B64EB" w:rsidRDefault="009B64EB" w:rsidP="00BE1525">
      <w:pPr>
        <w:spacing w:after="0"/>
        <w:ind w:left="-850" w:right="-850"/>
      </w:pPr>
      <w:r>
        <w:t>ii</w:t>
      </w:r>
      <w:r>
        <w:tab/>
        <w:t xml:space="preserve">Project details </w:t>
      </w:r>
    </w:p>
    <w:p w14:paraId="712805BE" w14:textId="6DC0C9B8" w:rsidR="009B64EB" w:rsidRDefault="009B64EB" w:rsidP="00686D0B">
      <w:pPr>
        <w:spacing w:after="0"/>
        <w:ind w:left="-850" w:right="-850"/>
      </w:pPr>
      <w:r>
        <w:t>iii</w:t>
      </w:r>
      <w:r w:rsidR="009E5614">
        <w:t xml:space="preserve"> </w:t>
      </w:r>
      <w:r>
        <w:t xml:space="preserve">A breakdown of tasks/activities to be undertaken during the project. </w:t>
      </w:r>
      <w:r w:rsidR="00686D0B">
        <w:t>This section should include details of internal and or external persons responsible for undertaking the tasks</w:t>
      </w:r>
    </w:p>
    <w:p w14:paraId="776FCCB1" w14:textId="397362D0" w:rsidR="009B64EB" w:rsidRDefault="00257105" w:rsidP="009E5614">
      <w:pPr>
        <w:spacing w:after="0"/>
        <w:ind w:left="-850" w:right="-850"/>
      </w:pPr>
      <w:r>
        <w:t>i</w:t>
      </w:r>
      <w:r w:rsidR="009B64EB">
        <w:t>v</w:t>
      </w:r>
      <w:r w:rsidR="009E5614">
        <w:t xml:space="preserve"> </w:t>
      </w:r>
      <w:r w:rsidR="009B64EB">
        <w:t xml:space="preserve">Details on how the project will impact on the company’s development in terms of </w:t>
      </w:r>
      <w:r w:rsidR="001F19F4">
        <w:t xml:space="preserve">emissions reduction, </w:t>
      </w:r>
      <w:r w:rsidR="009B64EB">
        <w:t>new sales, exports, new investment/expansion or job creation (2000 chars)</w:t>
      </w:r>
    </w:p>
    <w:p w14:paraId="5E8F24E5" w14:textId="4343C6F7" w:rsidR="009E5614" w:rsidRPr="004552CB" w:rsidRDefault="00E532EF" w:rsidP="009E5614">
      <w:pPr>
        <w:spacing w:after="0"/>
        <w:ind w:left="-850" w:right="-850"/>
        <w:rPr>
          <w:b/>
          <w:bCs/>
        </w:rPr>
      </w:pPr>
      <w:r w:rsidRPr="004552CB">
        <w:t>v</w:t>
      </w:r>
      <w:r w:rsidR="00A40EEB" w:rsidRPr="004552CB">
        <w:rPr>
          <w:b/>
          <w:bCs/>
        </w:rPr>
        <w:t xml:space="preserve"> </w:t>
      </w:r>
      <w:r w:rsidR="00A40EEB" w:rsidRPr="009D1533">
        <w:t>A</w:t>
      </w:r>
      <w:r w:rsidR="003571B2" w:rsidRPr="009D1533">
        <w:rPr>
          <w:vertAlign w:val="superscript"/>
        </w:rPr>
        <w:t xml:space="preserve"> </w:t>
      </w:r>
      <w:r w:rsidR="003571B2">
        <w:rPr>
          <w:b/>
          <w:bCs/>
        </w:rPr>
        <w:t xml:space="preserve">Strategic Consultancy Plan </w:t>
      </w:r>
      <w:r w:rsidR="00106E06" w:rsidRPr="009D1533">
        <w:t>(</w:t>
      </w:r>
      <w:r w:rsidR="00FB346F" w:rsidRPr="009D1533">
        <w:t xml:space="preserve">&amp; </w:t>
      </w:r>
      <w:r w:rsidR="00106E06" w:rsidRPr="009D1533">
        <w:t xml:space="preserve">energy audit </w:t>
      </w:r>
      <w:r w:rsidR="0007426C" w:rsidRPr="009D1533">
        <w:t>compliance sch</w:t>
      </w:r>
      <w:r w:rsidR="00FB346F" w:rsidRPr="009D1533">
        <w:t xml:space="preserve">eme </w:t>
      </w:r>
      <w:r w:rsidR="00106E06" w:rsidRPr="009D1533">
        <w:t>declaration</w:t>
      </w:r>
      <w:r w:rsidR="0011046B" w:rsidRPr="009D1533">
        <w:t xml:space="preserve"> if relevant</w:t>
      </w:r>
      <w:r w:rsidR="00106E06" w:rsidRPr="009D1533">
        <w:t>)</w:t>
      </w:r>
      <w:r w:rsidR="00D12497" w:rsidRPr="009D1533">
        <w:t xml:space="preserve"> </w:t>
      </w:r>
      <w:r w:rsidR="00B2677E" w:rsidRPr="009D1533">
        <w:t>are</w:t>
      </w:r>
      <w:r w:rsidR="00A40EEB" w:rsidRPr="009D1533">
        <w:t xml:space="preserve"> required </w:t>
      </w:r>
      <w:r w:rsidR="002B16E1" w:rsidRPr="009D1533">
        <w:t xml:space="preserve">in addition to the on-line </w:t>
      </w:r>
      <w:r w:rsidR="00A40EEB" w:rsidRPr="009D1533">
        <w:t>application</w:t>
      </w:r>
      <w:r w:rsidR="00A40EEB" w:rsidRPr="004552CB">
        <w:rPr>
          <w:b/>
          <w:bCs/>
        </w:rPr>
        <w:t>.</w:t>
      </w:r>
      <w:r w:rsidR="00FB346F" w:rsidRPr="00DB0811">
        <w:rPr>
          <w:b/>
          <w:bCs/>
        </w:rPr>
        <w:t xml:space="preserve"> </w:t>
      </w:r>
      <w:r w:rsidR="009A78D7" w:rsidRPr="00A0039A">
        <w:t>Download</w:t>
      </w:r>
      <w:r w:rsidR="00E44F7C">
        <w:t xml:space="preserve"> the</w:t>
      </w:r>
      <w:r w:rsidR="009A78D7" w:rsidRPr="00A0039A">
        <w:t xml:space="preserve"> strategic consultancy plan template </w:t>
      </w:r>
      <w:hyperlink r:id="rId14" w:history="1">
        <w:r w:rsidR="00A0039A">
          <w:rPr>
            <w:color w:val="0000FF"/>
            <w:u w:val="single"/>
          </w:rPr>
          <w:t>here</w:t>
        </w:r>
      </w:hyperlink>
      <w:r w:rsidR="009A78D7">
        <w:rPr>
          <w:b/>
          <w:bCs/>
        </w:rPr>
        <w:t xml:space="preserve"> </w:t>
      </w:r>
      <w:r w:rsidR="009D1533" w:rsidRPr="00A0039A">
        <w:t>or</w:t>
      </w:r>
      <w:r w:rsidR="009A78D7" w:rsidRPr="00A0039A">
        <w:t xml:space="preserve"> </w:t>
      </w:r>
      <w:r w:rsidR="009D1533">
        <w:t>e</w:t>
      </w:r>
      <w:r w:rsidR="003571B2" w:rsidRPr="00DB0811">
        <w:t>mail</w:t>
      </w:r>
      <w:r w:rsidR="00EE0D2A" w:rsidRPr="00DB0811">
        <w:t xml:space="preserve"> </w:t>
      </w:r>
      <w:hyperlink r:id="rId15" w:history="1">
        <w:r w:rsidR="00EE0D2A" w:rsidRPr="00DB0811">
          <w:rPr>
            <w:rStyle w:val="Hyperlink"/>
          </w:rPr>
          <w:t>green@enterprise-ireland.com</w:t>
        </w:r>
      </w:hyperlink>
      <w:r w:rsidR="00EE0D2A" w:rsidRPr="00DB0811">
        <w:t xml:space="preserve"> </w:t>
      </w:r>
      <w:r w:rsidR="00282E11">
        <w:t xml:space="preserve">for the </w:t>
      </w:r>
      <w:r w:rsidR="0094745A" w:rsidRPr="00DB0811">
        <w:t xml:space="preserve">template which should be completed and returned to </w:t>
      </w:r>
      <w:hyperlink r:id="rId16" w:history="1">
        <w:r w:rsidR="0094745A" w:rsidRPr="00DB0811">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44EDFCB5" w:rsidR="009B64EB" w:rsidRDefault="009B64EB" w:rsidP="009E5614">
      <w:pPr>
        <w:spacing w:after="0"/>
        <w:ind w:right="-850" w:hanging="850"/>
      </w:pPr>
      <w:r>
        <w:t>2.1</w:t>
      </w:r>
      <w:r w:rsidR="009E5614">
        <w:tab/>
      </w:r>
      <w:r>
        <w:t xml:space="preserve">A </w:t>
      </w:r>
      <w:r w:rsidR="001F19F4">
        <w:t xml:space="preserve">Strategic Consultancy </w:t>
      </w:r>
      <w:r>
        <w:t xml:space="preserve">Assignment will typically be </w:t>
      </w:r>
      <w:r w:rsidR="00E86A3C">
        <w:t>12</w:t>
      </w:r>
      <w:r>
        <w:t xml:space="preserve"> months in duration. The ‘Final Claim Date’ is given on the ‘Letter of Offer’ and is 1</w:t>
      </w:r>
      <w:r w:rsidR="001F19F4">
        <w:t>2</w:t>
      </w:r>
      <w:r>
        <w:t xml:space="preserve"> months from the ‘Letter of Offer’ date.</w:t>
      </w:r>
    </w:p>
    <w:p w14:paraId="0E0EC5CC" w14:textId="415D24A7" w:rsidR="00904722" w:rsidRDefault="009B64EB" w:rsidP="009E5614">
      <w:pPr>
        <w:spacing w:after="0"/>
        <w:ind w:left="-850" w:right="-850"/>
      </w:pPr>
      <w:r>
        <w:t>2.2</w:t>
      </w:r>
      <w:r>
        <w:tab/>
        <w:t xml:space="preserve">Eligible costs </w:t>
      </w:r>
      <w:r w:rsidR="00EB16E0">
        <w:t>include;</w:t>
      </w:r>
    </w:p>
    <w:p w14:paraId="0975BAA7" w14:textId="5F08C940" w:rsidR="009B64EB" w:rsidRDefault="00904722" w:rsidP="00904722">
      <w:pPr>
        <w:spacing w:after="0"/>
        <w:ind w:left="-850" w:right="-850" w:firstLine="850"/>
      </w:pPr>
      <w:r>
        <w:t>Service provider</w:t>
      </w:r>
      <w:r w:rsidR="00235F5E">
        <w:t xml:space="preserve"> co</w:t>
      </w:r>
      <w:r w:rsidR="0063059C">
        <w:t>s</w:t>
      </w:r>
      <w:r w:rsidR="00235F5E">
        <w:t>ts</w:t>
      </w:r>
      <w:r w:rsidR="009B64EB">
        <w:t xml:space="preserve"> capped at €900 per day inclusive of travel and subsistence and all </w:t>
      </w:r>
      <w:proofErr w:type="gramStart"/>
      <w:r w:rsidR="009B64EB">
        <w:t>out of pocket</w:t>
      </w:r>
      <w:proofErr w:type="gramEnd"/>
      <w:r w:rsidR="009B64EB">
        <w:t xml:space="preserve"> expenses</w:t>
      </w:r>
    </w:p>
    <w:p w14:paraId="048641BC" w14:textId="430A60B6" w:rsidR="009B64EB" w:rsidRDefault="009B64EB" w:rsidP="009E5614">
      <w:pPr>
        <w:spacing w:after="0"/>
        <w:ind w:left="-850" w:right="-850"/>
      </w:pPr>
      <w:r>
        <w:t>2.3</w:t>
      </w:r>
      <w:r>
        <w:tab/>
        <w:t>Total project cost up to €</w:t>
      </w:r>
      <w:r w:rsidR="001F19F4">
        <w:t>70</w:t>
      </w:r>
      <w:r w:rsidR="00515D6C">
        <w:t>,000</w:t>
      </w:r>
      <w:r w:rsidR="000E0C03">
        <w:t xml:space="preserve"> plus VAT</w:t>
      </w:r>
      <w:r>
        <w:t>, maximum EI grant up to €</w:t>
      </w:r>
      <w:r w:rsidR="001F19F4">
        <w:t>35</w:t>
      </w:r>
      <w:r>
        <w:t>,000</w:t>
      </w:r>
      <w:r w:rsidR="000E0C03">
        <w:t xml:space="preserve"> ex</w:t>
      </w:r>
      <w:r w:rsidR="00B036A9">
        <w:t>cluding</w:t>
      </w:r>
      <w:r w:rsidR="000E0C03">
        <w:t xml:space="preserve"> VAT</w:t>
      </w:r>
    </w:p>
    <w:p w14:paraId="2D946B17" w14:textId="0F492898" w:rsidR="009B64EB" w:rsidRDefault="009B64EB" w:rsidP="009E5614">
      <w:pPr>
        <w:spacing w:after="0"/>
        <w:ind w:left="-850" w:right="-850"/>
      </w:pPr>
      <w:r>
        <w:t>2.4</w:t>
      </w:r>
      <w:r>
        <w:tab/>
        <w:t xml:space="preserve">It is the responsibility of the company to claim the </w:t>
      </w:r>
      <w:r w:rsidR="001F19F4">
        <w:t>Strategic Consultancy</w:t>
      </w:r>
      <w:r>
        <w:t xml:space="preserve"> funding support</w:t>
      </w:r>
    </w:p>
    <w:p w14:paraId="443ABF26" w14:textId="31CA0F1D" w:rsidR="00EC04CF" w:rsidRDefault="009B64EB" w:rsidP="005A4F6E">
      <w:pPr>
        <w:spacing w:after="0"/>
        <w:ind w:left="-850" w:right="-850"/>
      </w:pPr>
      <w:r>
        <w:lastRenderedPageBreak/>
        <w:t>2.5</w:t>
      </w:r>
      <w:r>
        <w:tab/>
        <w:t>The company is responsible for the payment of the service provider</w:t>
      </w:r>
      <w:r w:rsidR="00CF1595">
        <w:t xml:space="preserve"> before making a claim</w:t>
      </w:r>
      <w:r w:rsidR="00DF6AF0">
        <w:t xml:space="preserve"> (proof of payment will be required)</w:t>
      </w:r>
      <w:r w:rsidR="00FB12ED">
        <w:t>.</w:t>
      </w:r>
    </w:p>
    <w:p w14:paraId="0A5D41CE" w14:textId="77777777" w:rsidR="002121EA" w:rsidRDefault="002121EA" w:rsidP="00EE0D2A">
      <w:pPr>
        <w:spacing w:after="0"/>
        <w:ind w:left="-850" w:right="-850"/>
      </w:pPr>
    </w:p>
    <w:p w14:paraId="7B737650" w14:textId="1EBEBDA6" w:rsidR="009B64EB" w:rsidRDefault="009B64EB" w:rsidP="0099451A">
      <w:pPr>
        <w:spacing w:after="0"/>
        <w:ind w:left="-850" w:right="-850"/>
      </w:pPr>
      <w:r>
        <w:rPr>
          <w:rStyle w:val="Heading1Char"/>
        </w:rPr>
        <w:t>3</w:t>
      </w:r>
      <w:r w:rsidRPr="009B64EB">
        <w:tab/>
      </w:r>
      <w:r w:rsidR="001F19F4" w:rsidRPr="001F19F4">
        <w:rPr>
          <w:rFonts w:asciiTheme="majorHAnsi" w:eastAsiaTheme="majorEastAsia" w:hAnsiTheme="majorHAnsi" w:cstheme="majorBidi"/>
          <w:color w:val="2F5496" w:themeColor="accent1" w:themeShade="BF"/>
          <w:sz w:val="32"/>
          <w:szCs w:val="32"/>
        </w:rPr>
        <w:t xml:space="preserve">Strategic Consultancy </w:t>
      </w:r>
      <w:r w:rsidR="00670D39">
        <w:rPr>
          <w:rFonts w:asciiTheme="majorHAnsi" w:eastAsiaTheme="majorEastAsia" w:hAnsiTheme="majorHAnsi" w:cstheme="majorBidi"/>
          <w:color w:val="2F5496" w:themeColor="accent1" w:themeShade="BF"/>
          <w:sz w:val="32"/>
          <w:szCs w:val="32"/>
        </w:rPr>
        <w:t xml:space="preserve">Interim &amp; Progress </w:t>
      </w:r>
      <w:r w:rsidRPr="009B64EB">
        <w:rPr>
          <w:rStyle w:val="Heading1Char"/>
        </w:rPr>
        <w:t>Report &amp; Claim</w:t>
      </w:r>
    </w:p>
    <w:p w14:paraId="0D6696C2" w14:textId="7F77E142" w:rsidR="00E437CB" w:rsidRDefault="00E437CB" w:rsidP="00E437CB">
      <w:pPr>
        <w:spacing w:after="0"/>
        <w:ind w:right="-850" w:hanging="850"/>
        <w:rPr>
          <w:color w:val="0000FF"/>
          <w:u w:val="single"/>
        </w:rPr>
      </w:pPr>
      <w:r>
        <w:t>3.1</w:t>
      </w:r>
      <w:r>
        <w:tab/>
        <w:t>The company downloads the ‘</w:t>
      </w:r>
      <w:r w:rsidR="00670D39">
        <w:t>Strategic Consultancy</w:t>
      </w:r>
      <w:r>
        <w:t xml:space="preserve"> Claim &amp; Director Stat</w:t>
      </w:r>
      <w:r w:rsidR="009D4A50">
        <w:t>eme</w:t>
      </w:r>
      <w:r>
        <w:t>nt</w:t>
      </w:r>
      <w:r w:rsidR="009D4A50">
        <w:t xml:space="preserve">’ </w:t>
      </w:r>
      <w:r w:rsidR="00670D39">
        <w:t xml:space="preserve">(&amp; </w:t>
      </w:r>
      <w:r>
        <w:t>Pr</w:t>
      </w:r>
      <w:r w:rsidR="009D4A50">
        <w:t>ogress</w:t>
      </w:r>
      <w:r>
        <w:t xml:space="preserve"> Report</w:t>
      </w:r>
      <w:r w:rsidR="00670D39">
        <w:t>)</w:t>
      </w:r>
      <w:r w:rsidR="00AF4E62">
        <w:t xml:space="preserve"> </w:t>
      </w:r>
      <w:r>
        <w:t>on</w:t>
      </w:r>
      <w:r w:rsidR="00670D39">
        <w:t xml:space="preserve"> </w:t>
      </w:r>
      <w:hyperlink r:id="rId17" w:history="1">
        <w:r w:rsidR="00670D39">
          <w:rPr>
            <w:rStyle w:val="Hyperlink"/>
          </w:rPr>
          <w:t>Strategic Consultancy Grant Claim webpage</w:t>
        </w:r>
      </w:hyperlink>
    </w:p>
    <w:p w14:paraId="598C71CF" w14:textId="4F91EAD6" w:rsidR="00E437CB" w:rsidRPr="00EC1C3D" w:rsidRDefault="00E437CB" w:rsidP="00AA7D30">
      <w:pPr>
        <w:spacing w:after="0"/>
        <w:ind w:right="-850" w:hanging="850"/>
        <w:rPr>
          <w:color w:val="0000FF"/>
          <w:u w:val="single"/>
        </w:rPr>
      </w:pPr>
      <w:r w:rsidRPr="009450A9">
        <w:t>3.2</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8" w:history="1">
        <w:r w:rsidRPr="00846C19">
          <w:rPr>
            <w:rStyle w:val="Hyperlink"/>
          </w:rPr>
          <w:t>IndustryGrantClaims@enterprise-ireland.com</w:t>
        </w:r>
      </w:hyperlink>
      <w:r>
        <w:t xml:space="preserve"> </w:t>
      </w:r>
      <w:r w:rsidRPr="005E681C">
        <w:t>prior to the Final Claim Date</w:t>
      </w:r>
      <w:r>
        <w:t>.</w:t>
      </w:r>
      <w:r w:rsidRPr="00D4658D">
        <w:t xml:space="preserve"> </w:t>
      </w:r>
      <w:r w:rsidR="00712BDE">
        <w:t xml:space="preserve"> </w:t>
      </w:r>
    </w:p>
    <w:p w14:paraId="5B470297" w14:textId="77777777" w:rsidR="009A6940" w:rsidRDefault="009A6940" w:rsidP="0099451A">
      <w:pPr>
        <w:spacing w:after="0"/>
        <w:ind w:right="-850" w:hanging="850"/>
      </w:pPr>
    </w:p>
    <w:p w14:paraId="3DE4E30D" w14:textId="0E5CB6D7" w:rsidR="001A1F99" w:rsidRDefault="0086612A" w:rsidP="00660009">
      <w:pPr>
        <w:pStyle w:val="ListParagraph"/>
        <w:numPr>
          <w:ilvl w:val="0"/>
          <w:numId w:val="16"/>
        </w:numPr>
        <w:spacing w:after="0"/>
        <w:ind w:right="-850"/>
        <w:rPr>
          <w:rStyle w:val="Heading1Char"/>
        </w:rPr>
      </w:pPr>
      <w:bookmarkStart w:id="2" w:name="_Hlk57129541"/>
      <w:r>
        <w:rPr>
          <w:rStyle w:val="Heading1Char"/>
        </w:rPr>
        <w:t>Eligible Activities</w:t>
      </w:r>
    </w:p>
    <w:bookmarkEnd w:id="2"/>
    <w:p w14:paraId="32B0BA29" w14:textId="16713DD2" w:rsidR="00FA17CE" w:rsidRDefault="00FA17CE" w:rsidP="00D47037">
      <w:pPr>
        <w:spacing w:after="0"/>
        <w:ind w:left="-850" w:right="-850"/>
      </w:pPr>
      <w:r>
        <w:t>SMEs</w:t>
      </w:r>
    </w:p>
    <w:p w14:paraId="4344E37D" w14:textId="206C4451" w:rsidR="00FA17CE" w:rsidRDefault="00FA658A" w:rsidP="00FA17CE">
      <w:pPr>
        <w:pStyle w:val="ListParagraph"/>
        <w:numPr>
          <w:ilvl w:val="0"/>
          <w:numId w:val="18"/>
        </w:numPr>
        <w:spacing w:after="0"/>
        <w:ind w:right="-850"/>
      </w:pPr>
      <w:r>
        <w:t>E</w:t>
      </w:r>
      <w:r w:rsidR="00FA5724" w:rsidRPr="00FA5724">
        <w:t>ligible projects must be new assignments of strategic significance to the company</w:t>
      </w:r>
      <w:r w:rsidR="0068249E">
        <w:t>.</w:t>
      </w:r>
    </w:p>
    <w:p w14:paraId="311B1DD5" w14:textId="2561C434" w:rsidR="00D47037" w:rsidRDefault="00650AAE" w:rsidP="00FA17CE">
      <w:pPr>
        <w:pStyle w:val="ListParagraph"/>
        <w:numPr>
          <w:ilvl w:val="0"/>
          <w:numId w:val="18"/>
        </w:numPr>
        <w:spacing w:after="0"/>
        <w:ind w:right="-850"/>
      </w:pPr>
      <w:r>
        <w:t>E</w:t>
      </w:r>
      <w:r w:rsidR="0057739F" w:rsidRPr="0057739F">
        <w:t xml:space="preserve">nvironmental studies or consultancy services </w:t>
      </w:r>
      <w:r>
        <w:t>with a</w:t>
      </w:r>
      <w:r w:rsidRPr="00650AAE">
        <w:t xml:space="preserve">n external expert(s) </w:t>
      </w:r>
      <w:bookmarkStart w:id="3" w:name="_Hlk106612579"/>
      <w:r w:rsidR="0057739F" w:rsidRPr="0057739F">
        <w:t xml:space="preserve">for improved levels of environmental protection, including </w:t>
      </w:r>
      <w:proofErr w:type="spellStart"/>
      <w:r w:rsidR="0057739F" w:rsidRPr="0057739F">
        <w:t>decarbonisation</w:t>
      </w:r>
      <w:proofErr w:type="spellEnd"/>
      <w:r w:rsidR="0057739F" w:rsidRPr="0057739F">
        <w:t>, increased energy and resource efficiency and renewable energy generation</w:t>
      </w:r>
      <w:r w:rsidR="001B48F1">
        <w:t xml:space="preserve">. </w:t>
      </w:r>
      <w:bookmarkEnd w:id="3"/>
    </w:p>
    <w:p w14:paraId="78B45A6C" w14:textId="77777777" w:rsidR="00551553" w:rsidRDefault="00551553" w:rsidP="00551553">
      <w:pPr>
        <w:spacing w:after="0"/>
        <w:ind w:left="-850" w:right="-850"/>
      </w:pPr>
    </w:p>
    <w:p w14:paraId="474BB7E6" w14:textId="77777777" w:rsidR="00551553" w:rsidRDefault="00551553" w:rsidP="00551553">
      <w:pPr>
        <w:spacing w:after="0"/>
        <w:ind w:left="-850" w:right="-850"/>
      </w:pPr>
      <w:r>
        <w:t>Large Companies</w:t>
      </w:r>
    </w:p>
    <w:p w14:paraId="409EB8F1" w14:textId="0E5F3279" w:rsidR="00551553" w:rsidRDefault="00551553" w:rsidP="00551553">
      <w:pPr>
        <w:pStyle w:val="ListParagraph"/>
        <w:numPr>
          <w:ilvl w:val="0"/>
          <w:numId w:val="18"/>
        </w:numPr>
        <w:spacing w:after="0"/>
        <w:ind w:right="-850"/>
      </w:pPr>
      <w:r w:rsidRPr="00551553">
        <w:t xml:space="preserve">Environmental studies or consultancy services </w:t>
      </w:r>
      <w:r w:rsidR="0011023F">
        <w:t>directly linked to investments</w:t>
      </w:r>
      <w:r w:rsidRPr="00551553">
        <w:t xml:space="preserve"> for improved levels of environmental protection, including </w:t>
      </w:r>
      <w:proofErr w:type="spellStart"/>
      <w:r w:rsidRPr="00551553">
        <w:t>decarbonisation</w:t>
      </w:r>
      <w:proofErr w:type="spellEnd"/>
      <w:r w:rsidRPr="00551553">
        <w:t>, increased energy and resource efficiency and renewable energy generation.</w:t>
      </w:r>
    </w:p>
    <w:p w14:paraId="2752601C" w14:textId="77777777" w:rsidR="00477976" w:rsidRDefault="00477976" w:rsidP="00E751CB">
      <w:pPr>
        <w:spacing w:after="0"/>
        <w:ind w:right="-850"/>
      </w:pPr>
    </w:p>
    <w:p w14:paraId="355F2765" w14:textId="5BFEF158" w:rsidR="00D47037" w:rsidRDefault="00D47037" w:rsidP="00D47037">
      <w:pPr>
        <w:spacing w:after="0"/>
        <w:ind w:left="-850" w:right="-850"/>
      </w:pPr>
      <w:r>
        <w:t>Note</w:t>
      </w:r>
    </w:p>
    <w:p w14:paraId="35F6E6BF" w14:textId="01E519A5" w:rsidR="00D47037" w:rsidRDefault="008B4417" w:rsidP="00D47037">
      <w:pPr>
        <w:pStyle w:val="ListParagraph"/>
        <w:numPr>
          <w:ilvl w:val="0"/>
          <w:numId w:val="17"/>
        </w:numPr>
        <w:spacing w:after="0"/>
        <w:ind w:right="-850"/>
      </w:pPr>
      <w:r>
        <w:t>For c</w:t>
      </w:r>
      <w:r w:rsidR="002C0AFF">
        <w:t xml:space="preserve">ompanies </w:t>
      </w:r>
      <w:r w:rsidR="004E4EFD">
        <w:t>with lower energy usage/</w:t>
      </w:r>
      <w:proofErr w:type="gramStart"/>
      <w:r w:rsidR="004E4EFD">
        <w:t>less</w:t>
      </w:r>
      <w:proofErr w:type="gramEnd"/>
      <w:r w:rsidR="004E4EFD">
        <w:t xml:space="preserve"> complex operations</w:t>
      </w:r>
      <w:r>
        <w:t>,</w:t>
      </w:r>
      <w:r w:rsidR="00DC735E">
        <w:t xml:space="preserve"> </w:t>
      </w:r>
      <w:proofErr w:type="spellStart"/>
      <w:r>
        <w:t>GreenStart</w:t>
      </w:r>
      <w:proofErr w:type="spellEnd"/>
      <w:r>
        <w:t xml:space="preserve"> is more appropriate </w:t>
      </w:r>
    </w:p>
    <w:p w14:paraId="589107FA" w14:textId="75BB8554" w:rsidR="00D47037" w:rsidRDefault="00D47037" w:rsidP="00D47037">
      <w:pPr>
        <w:pStyle w:val="ListParagraph"/>
        <w:numPr>
          <w:ilvl w:val="0"/>
          <w:numId w:val="17"/>
        </w:numPr>
        <w:spacing w:after="0"/>
        <w:ind w:right="-850"/>
      </w:pPr>
      <w:r>
        <w:t>Large companies are not eligible for other strategic assignments under the Strategic Consultancy Grant</w:t>
      </w:r>
    </w:p>
    <w:p w14:paraId="040D5766" w14:textId="77777777" w:rsidR="00E751CB" w:rsidRDefault="00E751CB" w:rsidP="00E751CB">
      <w:pPr>
        <w:spacing w:after="0"/>
        <w:ind w:left="-850" w:right="-850"/>
      </w:pPr>
    </w:p>
    <w:p w14:paraId="3F3957E4" w14:textId="77777777" w:rsidR="00E07A09" w:rsidRDefault="00E07A09" w:rsidP="004F6B19">
      <w:pPr>
        <w:spacing w:after="0"/>
        <w:ind w:right="-850"/>
        <w:rPr>
          <w:rStyle w:val="Heading1Char"/>
          <w:rFonts w:asciiTheme="minorHAnsi" w:eastAsiaTheme="minorHAnsi" w:hAnsiTheme="minorHAnsi" w:cstheme="minorBidi"/>
          <w:color w:val="auto"/>
          <w:sz w:val="22"/>
          <w:szCs w:val="22"/>
        </w:rPr>
      </w:pPr>
      <w:bookmarkStart w:id="4" w:name="_Hlk106613677"/>
    </w:p>
    <w:p w14:paraId="4F2947E3" w14:textId="1F518A85" w:rsidR="001C4C04" w:rsidRDefault="00E07A09" w:rsidP="00E07A09">
      <w:pPr>
        <w:spacing w:after="0"/>
        <w:ind w:left="-850" w:right="-850"/>
        <w:rPr>
          <w:rStyle w:val="Heading1Char"/>
        </w:rPr>
      </w:pPr>
      <w:r>
        <w:rPr>
          <w:rStyle w:val="Heading1Char"/>
        </w:rPr>
        <w:t>6</w:t>
      </w:r>
      <w:r w:rsidRPr="009B64EB">
        <w:tab/>
      </w:r>
      <w:r w:rsidR="009A00C0">
        <w:rPr>
          <w:rStyle w:val="Heading1Char"/>
        </w:rPr>
        <w:t>Ineligible Activities</w:t>
      </w:r>
      <w:r w:rsidR="00CD0EAE">
        <w:rPr>
          <w:rStyle w:val="Heading1Char"/>
        </w:rPr>
        <w:t xml:space="preserve"> / Costs</w:t>
      </w:r>
    </w:p>
    <w:bookmarkEnd w:id="4"/>
    <w:p w14:paraId="07AD7A19" w14:textId="77777777" w:rsidR="001C4C04" w:rsidRPr="00F25E74" w:rsidRDefault="001C4C04" w:rsidP="001C4C04">
      <w:pPr>
        <w:pStyle w:val="ListParagraph"/>
        <w:spacing w:after="0"/>
        <w:ind w:left="-490" w:right="-850"/>
        <w:rPr>
          <w:rStyle w:val="Heading1Char"/>
          <w:rFonts w:asciiTheme="minorHAnsi" w:hAnsiTheme="minorHAnsi" w:cstheme="minorHAnsi"/>
          <w:sz w:val="24"/>
          <w:szCs w:val="24"/>
        </w:rPr>
      </w:pPr>
    </w:p>
    <w:p w14:paraId="49DE42B9" w14:textId="77777777" w:rsidR="001C4C04" w:rsidRPr="00FA58C3" w:rsidRDefault="001C4C04" w:rsidP="00C63125">
      <w:pPr>
        <w:pStyle w:val="ListParagraph"/>
        <w:numPr>
          <w:ilvl w:val="0"/>
          <w:numId w:val="8"/>
        </w:numPr>
        <w:spacing w:after="0"/>
        <w:ind w:right="-850"/>
        <w:rPr>
          <w:rFonts w:asciiTheme="majorHAnsi" w:eastAsiaTheme="majorEastAsia" w:hAnsiTheme="majorHAnsi" w:cstheme="majorBidi"/>
          <w:color w:val="2F5496" w:themeColor="accent1" w:themeShade="BF"/>
        </w:rPr>
      </w:pPr>
      <w:r w:rsidRPr="00FA58C3">
        <w:rPr>
          <w:rFonts w:eastAsia="Times New Roman"/>
          <w:lang w:eastAsia="en-IE"/>
        </w:rPr>
        <w:t xml:space="preserve">Consultants engaged as an integral component of a training or R&amp;D project. (There are other specific </w:t>
      </w:r>
      <w:proofErr w:type="spellStart"/>
      <w:r w:rsidRPr="00FA58C3">
        <w:rPr>
          <w:rFonts w:eastAsia="Times New Roman"/>
          <w:lang w:eastAsia="en-IE"/>
        </w:rPr>
        <w:t>programmes</w:t>
      </w:r>
      <w:proofErr w:type="spellEnd"/>
      <w:r w:rsidRPr="00FA58C3">
        <w:rPr>
          <w:rFonts w:eastAsia="Times New Roman"/>
          <w:lang w:eastAsia="en-IE"/>
        </w:rPr>
        <w:t xml:space="preserve"> available in these instances)</w:t>
      </w:r>
      <w:r w:rsidRPr="00FA58C3">
        <w:rPr>
          <w:rFonts w:eastAsia="Times New Roman"/>
          <w:lang w:val="en-GB" w:eastAsia="en-IE"/>
        </w:rPr>
        <w:t> </w:t>
      </w:r>
    </w:p>
    <w:p w14:paraId="066D6118" w14:textId="77777777" w:rsidR="001C4C04" w:rsidRPr="00FA58C3" w:rsidRDefault="001C4C04" w:rsidP="00C63125">
      <w:pPr>
        <w:pStyle w:val="ListParagraph"/>
        <w:numPr>
          <w:ilvl w:val="0"/>
          <w:numId w:val="8"/>
        </w:numPr>
        <w:spacing w:after="0"/>
        <w:ind w:right="-850"/>
        <w:rPr>
          <w:rFonts w:asciiTheme="majorHAnsi" w:eastAsiaTheme="majorEastAsia" w:hAnsiTheme="majorHAnsi" w:cstheme="majorBidi"/>
          <w:color w:val="2F5496" w:themeColor="accent1" w:themeShade="BF"/>
        </w:rPr>
      </w:pPr>
      <w:r w:rsidRPr="00FA58C3">
        <w:rPr>
          <w:rFonts w:eastAsia="Times New Roman"/>
          <w:lang w:eastAsia="en-IE"/>
        </w:rPr>
        <w:t>The costs of consultants hired for continuous or routine consultancy activities such as legal, financial, market research and PR</w:t>
      </w:r>
    </w:p>
    <w:p w14:paraId="0E3E0086" w14:textId="5052B474" w:rsidR="001C4C04" w:rsidRPr="00FA58C3" w:rsidRDefault="001C4C04" w:rsidP="00C63125">
      <w:pPr>
        <w:pStyle w:val="ListParagraph"/>
        <w:numPr>
          <w:ilvl w:val="0"/>
          <w:numId w:val="8"/>
        </w:numPr>
        <w:spacing w:after="0"/>
        <w:ind w:right="-850"/>
        <w:rPr>
          <w:rFonts w:asciiTheme="majorHAnsi" w:eastAsiaTheme="majorEastAsia" w:hAnsiTheme="majorHAnsi" w:cstheme="majorBidi"/>
          <w:color w:val="2F5496" w:themeColor="accent1" w:themeShade="BF"/>
        </w:rPr>
      </w:pPr>
      <w:r w:rsidRPr="00FA58C3">
        <w:rPr>
          <w:rFonts w:eastAsia="Times New Roman"/>
          <w:lang w:val="en-GB" w:eastAsia="en-IE"/>
        </w:rPr>
        <w:t xml:space="preserve">Energy audits mandated under the European Energy Efficiency Directive </w:t>
      </w:r>
      <w:r w:rsidR="0042428C">
        <w:rPr>
          <w:rFonts w:eastAsia="Times New Roman"/>
          <w:lang w:val="en-GB" w:eastAsia="en-IE"/>
        </w:rPr>
        <w:t xml:space="preserve">and </w:t>
      </w:r>
      <w:r w:rsidR="006B22BC" w:rsidRPr="006B22BC">
        <w:rPr>
          <w:rFonts w:eastAsia="Times New Roman"/>
          <w:lang w:val="en-GB" w:eastAsia="en-IE"/>
        </w:rPr>
        <w:t>transposed into Irish legislation in SI 426 of 2014 and amended by SI 626 of 2016 and SI 599 of 2019.</w:t>
      </w:r>
      <w:r w:rsidR="00C03562" w:rsidRPr="00C03562">
        <w:t xml:space="preserve"> </w:t>
      </w:r>
      <w:r w:rsidR="00C03562" w:rsidRPr="00C03562">
        <w:rPr>
          <w:rFonts w:eastAsia="Times New Roman"/>
          <w:lang w:val="en-GB" w:eastAsia="en-IE"/>
        </w:rPr>
        <w:t>Aid shall not be granted for energy audits carried out to comply with Directive 2012/27/EU, unless the energy audit is carried out in addition to the mandatory energy audit under that Directive.</w:t>
      </w:r>
    </w:p>
    <w:p w14:paraId="6935AB82" w14:textId="0C11C2D6" w:rsidR="008F681A" w:rsidRPr="0068249E" w:rsidRDefault="001C4C04" w:rsidP="008F681A">
      <w:pPr>
        <w:pStyle w:val="ListParagraph"/>
        <w:numPr>
          <w:ilvl w:val="0"/>
          <w:numId w:val="8"/>
        </w:numPr>
        <w:spacing w:after="0"/>
        <w:ind w:right="-850"/>
        <w:rPr>
          <w:rFonts w:asciiTheme="majorHAnsi" w:eastAsiaTheme="majorEastAsia" w:hAnsiTheme="majorHAnsi" w:cstheme="majorBidi"/>
          <w:color w:val="2F5496" w:themeColor="accent1" w:themeShade="BF"/>
        </w:rPr>
      </w:pPr>
      <w:proofErr w:type="spellStart"/>
      <w:r w:rsidRPr="00FA58C3">
        <w:rPr>
          <w:rFonts w:eastAsia="Times New Roman"/>
          <w:lang w:eastAsia="en-IE"/>
        </w:rPr>
        <w:t>Subsidising</w:t>
      </w:r>
      <w:proofErr w:type="spellEnd"/>
      <w:r w:rsidRPr="00FA58C3">
        <w:rPr>
          <w:rFonts w:eastAsia="Times New Roman"/>
          <w:lang w:eastAsia="en-IE"/>
        </w:rPr>
        <w:t> a client's regular operating expenses.</w:t>
      </w:r>
      <w:r w:rsidRPr="00FA58C3">
        <w:rPr>
          <w:rFonts w:eastAsia="Times New Roman"/>
          <w:lang w:val="en-GB" w:eastAsia="en-IE"/>
        </w:rPr>
        <w:t> </w:t>
      </w:r>
    </w:p>
    <w:p w14:paraId="15A5959F" w14:textId="0C69B1D5" w:rsidR="008F681A" w:rsidRPr="008F681A" w:rsidRDefault="008F681A" w:rsidP="008F681A">
      <w:pPr>
        <w:tabs>
          <w:tab w:val="left" w:pos="11295"/>
        </w:tabs>
        <w:rPr>
          <w:rFonts w:asciiTheme="majorHAnsi" w:eastAsiaTheme="majorEastAsia" w:hAnsiTheme="majorHAnsi" w:cstheme="majorBidi"/>
        </w:rPr>
      </w:pPr>
      <w:r>
        <w:rPr>
          <w:rFonts w:asciiTheme="majorHAnsi" w:eastAsiaTheme="majorEastAsia" w:hAnsiTheme="majorHAnsi" w:cstheme="majorBidi"/>
        </w:rPr>
        <w:lastRenderedPageBreak/>
        <w:tab/>
      </w:r>
    </w:p>
    <w:p w14:paraId="7B134B2F" w14:textId="77777777" w:rsidR="00A7080A" w:rsidRPr="007542AD" w:rsidRDefault="00E07A09" w:rsidP="00A7080A">
      <w:pPr>
        <w:pStyle w:val="Heading1"/>
        <w:ind w:left="-850"/>
        <w:rPr>
          <w:lang w:val="en-GB"/>
        </w:rPr>
      </w:pPr>
      <w:r>
        <w:rPr>
          <w:rStyle w:val="Heading1Char"/>
        </w:rPr>
        <w:t>7</w:t>
      </w:r>
      <w:r w:rsidRPr="009B64EB">
        <w:tab/>
      </w:r>
      <w:bookmarkStart w:id="5" w:name="_Toc112072889"/>
      <w:r w:rsidR="00A7080A">
        <w:t xml:space="preserve">Environmental Legislation </w:t>
      </w:r>
      <w:r w:rsidR="00A7080A">
        <w:rPr>
          <w:lang w:val="en-GB"/>
        </w:rPr>
        <w:t xml:space="preserve">&amp; </w:t>
      </w:r>
      <w:r w:rsidR="00A7080A" w:rsidRPr="00030936">
        <w:rPr>
          <w:lang w:val="en-GB"/>
        </w:rPr>
        <w:t xml:space="preserve">Do </w:t>
      </w:r>
      <w:r w:rsidR="00A7080A">
        <w:rPr>
          <w:lang w:val="en-GB"/>
        </w:rPr>
        <w:t>N</w:t>
      </w:r>
      <w:r w:rsidR="00A7080A" w:rsidRPr="00030936">
        <w:rPr>
          <w:lang w:val="en-GB"/>
        </w:rPr>
        <w:t xml:space="preserve">o </w:t>
      </w:r>
      <w:r w:rsidR="00A7080A">
        <w:rPr>
          <w:lang w:val="en-GB"/>
        </w:rPr>
        <w:t>S</w:t>
      </w:r>
      <w:r w:rsidR="00A7080A" w:rsidRPr="00030936">
        <w:rPr>
          <w:lang w:val="en-GB"/>
        </w:rPr>
        <w:t xml:space="preserve">ignificant </w:t>
      </w:r>
      <w:r w:rsidR="00A7080A">
        <w:rPr>
          <w:lang w:val="en-GB"/>
        </w:rPr>
        <w:t>H</w:t>
      </w:r>
      <w:r w:rsidR="00A7080A" w:rsidRPr="00030936">
        <w:rPr>
          <w:lang w:val="en-GB"/>
        </w:rPr>
        <w:t>arm</w:t>
      </w:r>
      <w:r w:rsidR="00A7080A">
        <w:rPr>
          <w:lang w:val="en-GB"/>
        </w:rPr>
        <w:t xml:space="preserve"> Compliance</w:t>
      </w:r>
      <w:bookmarkEnd w:id="5"/>
    </w:p>
    <w:p w14:paraId="2E383D8A" w14:textId="77777777" w:rsidR="00A7080A" w:rsidRDefault="00A7080A" w:rsidP="00A7080A">
      <w:pPr>
        <w:spacing w:after="0" w:line="240" w:lineRule="auto"/>
        <w:ind w:left="-850" w:right="-850"/>
        <w:jc w:val="both"/>
        <w:textAlignment w:val="baseline"/>
        <w:rPr>
          <w:rFonts w:eastAsia="Arial MT" w:cstheme="minorHAnsi"/>
          <w:color w:val="000000" w:themeColor="text1"/>
        </w:rPr>
      </w:pPr>
    </w:p>
    <w:p w14:paraId="3E9DAD87" w14:textId="66FD9807" w:rsidR="00A7080A" w:rsidRPr="001E6315" w:rsidRDefault="00A7080A" w:rsidP="00A7080A">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sidR="00474FC8">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3308CF23" w14:textId="16E963BF" w:rsidR="00A7080A" w:rsidRPr="00313872" w:rsidRDefault="00A7080A" w:rsidP="003747AA">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73FF4602" w14:textId="77777777" w:rsidR="00A7080A" w:rsidRPr="00313872"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232DAD55" w14:textId="77777777" w:rsidR="00A7080A" w:rsidRPr="00313872"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2A5F55A5" w14:textId="77777777" w:rsidR="00A7080A" w:rsidRPr="00313872"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26656486" w14:textId="77777777" w:rsidR="00A7080A" w:rsidRDefault="00A7080A" w:rsidP="00A7080A">
      <w:pPr>
        <w:pStyle w:val="ListParagraph"/>
        <w:numPr>
          <w:ilvl w:val="0"/>
          <w:numId w:val="14"/>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69CE8EFB" w14:textId="6B0948AA" w:rsidR="00A7080A" w:rsidRPr="007E741C" w:rsidRDefault="00A7080A" w:rsidP="002D3401">
      <w:pPr>
        <w:spacing w:after="0" w:line="240" w:lineRule="auto"/>
        <w:ind w:right="-850"/>
        <w:jc w:val="both"/>
        <w:textAlignment w:val="baseline"/>
        <w:rPr>
          <w:rFonts w:eastAsia="Arial MT" w:cstheme="minorHAnsi"/>
          <w:color w:val="000000" w:themeColor="text1"/>
        </w:rPr>
      </w:pPr>
    </w:p>
    <w:p w14:paraId="00357828" w14:textId="7B55B192" w:rsidR="00A7080A" w:rsidRDefault="00A7080A" w:rsidP="002D6038">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00627DD5" w:rsidRPr="00627DD5">
        <w:rPr>
          <w:rFonts w:eastAsia="Arial MT" w:cstheme="minorHAnsi"/>
          <w:color w:val="000000" w:themeColor="text1"/>
        </w:rPr>
        <w:t xml:space="preserve">relevant EU and National environmental legislations and the ineligible projects listed above </w:t>
      </w:r>
      <w:r w:rsidR="00BB307D">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sidR="00474FC8">
        <w:rPr>
          <w:rFonts w:eastAsia="Arial MT" w:cstheme="minorHAnsi"/>
          <w:color w:val="000000" w:themeColor="text1"/>
        </w:rPr>
        <w:t>m</w:t>
      </w:r>
      <w:r w:rsidR="009D7844">
        <w:t xml:space="preserve"> and will comply with </w:t>
      </w:r>
      <w:r w:rsidR="0098177B">
        <w:t>‘</w:t>
      </w:r>
      <w:r w:rsidR="0098177B"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4920C65E" w14:textId="77777777" w:rsidR="002D6038" w:rsidRPr="002D6038" w:rsidRDefault="002D6038" w:rsidP="002D6038">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1766" w:type="dxa"/>
        <w:tblLayout w:type="fixed"/>
        <w:tblLook w:val="04A0" w:firstRow="1" w:lastRow="0" w:firstColumn="1" w:lastColumn="0" w:noHBand="0" w:noVBand="1"/>
      </w:tblPr>
      <w:tblGrid>
        <w:gridCol w:w="7513"/>
        <w:gridCol w:w="4253"/>
      </w:tblGrid>
      <w:tr w:rsidR="00A7080A" w:rsidRPr="007E741C" w14:paraId="331CFCF7" w14:textId="77777777" w:rsidTr="00C03B4F">
        <w:trPr>
          <w:trHeight w:val="550"/>
        </w:trPr>
        <w:tc>
          <w:tcPr>
            <w:tcW w:w="7513" w:type="dxa"/>
            <w:tcBorders>
              <w:top w:val="single" w:sz="8" w:space="0" w:color="auto"/>
              <w:left w:val="single" w:sz="8" w:space="0" w:color="auto"/>
              <w:bottom w:val="single" w:sz="8" w:space="0" w:color="auto"/>
              <w:right w:val="single" w:sz="8" w:space="0" w:color="auto"/>
            </w:tcBorders>
          </w:tcPr>
          <w:p w14:paraId="68A30743" w14:textId="77777777" w:rsidR="00A7080A" w:rsidRPr="007E741C" w:rsidRDefault="00A7080A" w:rsidP="00C03B4F">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515A7433" w14:textId="22F20491" w:rsidR="00A7080A" w:rsidRPr="007E741C" w:rsidRDefault="00A7080A" w:rsidP="00927C1A">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00927C1A" w:rsidRPr="00927C1A">
              <w:rPr>
                <w:rFonts w:eastAsia="Calibri" w:cstheme="minorHAnsi"/>
                <w:color w:val="000000" w:themeColor="text1"/>
                <w:sz w:val="18"/>
                <w:szCs w:val="18"/>
              </w:rPr>
              <w:t>project will comply with relevant EU and national environmental legislation and the ineligible</w:t>
            </w:r>
            <w:r w:rsidR="00927C1A">
              <w:rPr>
                <w:rFonts w:eastAsia="Calibri" w:cstheme="minorHAnsi"/>
                <w:color w:val="000000" w:themeColor="text1"/>
                <w:sz w:val="18"/>
                <w:szCs w:val="18"/>
              </w:rPr>
              <w:t xml:space="preserve"> </w:t>
            </w:r>
            <w:r w:rsidR="00927C1A"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4253" w:type="dxa"/>
            <w:tcBorders>
              <w:top w:val="single" w:sz="8" w:space="0" w:color="auto"/>
              <w:left w:val="single" w:sz="8" w:space="0" w:color="auto"/>
              <w:bottom w:val="single" w:sz="8" w:space="0" w:color="auto"/>
              <w:right w:val="single" w:sz="8" w:space="0" w:color="auto"/>
            </w:tcBorders>
          </w:tcPr>
          <w:p w14:paraId="1628B7B9" w14:textId="77777777" w:rsidR="00A7080A" w:rsidRPr="007E741C" w:rsidRDefault="00A7080A" w:rsidP="00C03B4F">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7080A" w:rsidRPr="007E741C" w14:paraId="10F07936" w14:textId="77777777" w:rsidTr="00C03B4F">
        <w:trPr>
          <w:trHeight w:val="550"/>
        </w:trPr>
        <w:tc>
          <w:tcPr>
            <w:tcW w:w="11766" w:type="dxa"/>
            <w:gridSpan w:val="2"/>
            <w:tcBorders>
              <w:top w:val="single" w:sz="8" w:space="0" w:color="auto"/>
              <w:left w:val="single" w:sz="8" w:space="0" w:color="auto"/>
              <w:bottom w:val="single" w:sz="8" w:space="0" w:color="auto"/>
              <w:right w:val="single" w:sz="8" w:space="0" w:color="auto"/>
            </w:tcBorders>
          </w:tcPr>
          <w:p w14:paraId="7A215184" w14:textId="77777777" w:rsidR="00A7080A" w:rsidRPr="007E741C" w:rsidRDefault="00A7080A" w:rsidP="00C03B4F">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6B412139" w14:textId="77777777" w:rsidR="00A7080A" w:rsidRPr="007E741C" w:rsidRDefault="00A7080A" w:rsidP="00C03B4F">
            <w:pPr>
              <w:contextualSpacing/>
              <w:rPr>
                <w:rFonts w:cstheme="minorHAnsi"/>
                <w:color w:val="000000" w:themeColor="text1"/>
                <w:sz w:val="18"/>
                <w:szCs w:val="18"/>
              </w:rPr>
            </w:pPr>
          </w:p>
          <w:p w14:paraId="0BF6AA50" w14:textId="04C3E458" w:rsidR="00A7080A" w:rsidRPr="007E741C" w:rsidRDefault="00A7080A" w:rsidP="002E5F09">
            <w:pPr>
              <w:contextualSpacing/>
              <w:rPr>
                <w:rFonts w:cstheme="minorHAnsi"/>
                <w:color w:val="000000" w:themeColor="text1"/>
                <w:sz w:val="18"/>
                <w:szCs w:val="18"/>
              </w:rPr>
            </w:pPr>
            <w:r w:rsidRPr="007E741C">
              <w:rPr>
                <w:rFonts w:cstheme="minorHAnsi"/>
                <w:i/>
                <w:iCs/>
                <w:color w:val="000000" w:themeColor="text1"/>
                <w:sz w:val="18"/>
                <w:szCs w:val="18"/>
              </w:rPr>
              <w:lastRenderedPageBreak/>
              <w:t xml:space="preserve">Sample text: The project being supported is for the development of a </w:t>
            </w:r>
            <w:proofErr w:type="spellStart"/>
            <w:r w:rsidRPr="007E741C">
              <w:rPr>
                <w:rFonts w:cstheme="minorHAnsi"/>
                <w:i/>
                <w:iCs/>
                <w:color w:val="000000" w:themeColor="text1"/>
                <w:sz w:val="18"/>
                <w:szCs w:val="18"/>
              </w:rPr>
              <w:t>decarbonisation</w:t>
            </w:r>
            <w:proofErr w:type="spellEnd"/>
            <w:r w:rsidRPr="007E741C">
              <w:rPr>
                <w:rFonts w:cstheme="minorHAnsi"/>
                <w:i/>
                <w:iCs/>
                <w:color w:val="000000" w:themeColor="text1"/>
                <w:sz w:val="18"/>
                <w:szCs w:val="18"/>
              </w:rPr>
              <w:t xml:space="preserve"> plan, delivered through consultancy, and will </w:t>
            </w:r>
            <w:r w:rsidR="002E5F09">
              <w:rPr>
                <w:rFonts w:cstheme="minorHAnsi"/>
                <w:i/>
                <w:iCs/>
                <w:color w:val="000000" w:themeColor="text1"/>
                <w:sz w:val="18"/>
                <w:szCs w:val="18"/>
              </w:rPr>
              <w:t>comply with EU and national legislation</w:t>
            </w:r>
            <w:r w:rsidR="002D3401">
              <w:rPr>
                <w:rFonts w:cstheme="minorHAnsi"/>
                <w:i/>
                <w:iCs/>
                <w:color w:val="000000" w:themeColor="text1"/>
                <w:sz w:val="18"/>
                <w:szCs w:val="18"/>
              </w:rPr>
              <w:t xml:space="preserve"> and the ineligible projects listed above.</w:t>
            </w:r>
          </w:p>
        </w:tc>
      </w:tr>
    </w:tbl>
    <w:p w14:paraId="56D28B95" w14:textId="7466BE4B" w:rsidR="000451B9" w:rsidRPr="00E07A09" w:rsidRDefault="000451B9" w:rsidP="00E07A09">
      <w:pPr>
        <w:spacing w:after="0"/>
        <w:ind w:left="-850" w:right="-850"/>
        <w:rPr>
          <w:rFonts w:asciiTheme="majorHAnsi" w:eastAsiaTheme="majorEastAsia" w:hAnsiTheme="majorHAnsi" w:cstheme="majorBidi"/>
          <w:color w:val="2F5496" w:themeColor="accent1" w:themeShade="BF"/>
          <w:sz w:val="32"/>
          <w:szCs w:val="32"/>
        </w:rPr>
      </w:pPr>
    </w:p>
    <w:p w14:paraId="0E7A4A49" w14:textId="4D2CF302" w:rsidR="000451B9" w:rsidRPr="00F25E74" w:rsidRDefault="000451B9" w:rsidP="000451B9">
      <w:pPr>
        <w:spacing w:before="120" w:after="120" w:line="240" w:lineRule="auto"/>
        <w:rPr>
          <w:sz w:val="24"/>
          <w:szCs w:val="24"/>
          <w:lang w:val="en-GB"/>
        </w:rPr>
      </w:pPr>
    </w:p>
    <w:sectPr w:rsidR="000451B9" w:rsidRPr="00F25E74" w:rsidSect="009E5614">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6442" w14:textId="77777777" w:rsidR="005039F0" w:rsidRDefault="005039F0" w:rsidP="009B64EB">
      <w:pPr>
        <w:spacing w:after="0" w:line="240" w:lineRule="auto"/>
      </w:pPr>
      <w:r>
        <w:separator/>
      </w:r>
    </w:p>
  </w:endnote>
  <w:endnote w:type="continuationSeparator" w:id="0">
    <w:p w14:paraId="3099E5CF" w14:textId="77777777" w:rsidR="005039F0" w:rsidRDefault="005039F0" w:rsidP="009B64EB">
      <w:pPr>
        <w:spacing w:after="0" w:line="240" w:lineRule="auto"/>
      </w:pPr>
      <w:r>
        <w:continuationSeparator/>
      </w:r>
    </w:p>
  </w:endnote>
  <w:endnote w:type="continuationNotice" w:id="1">
    <w:p w14:paraId="1CB97B6E" w14:textId="77777777" w:rsidR="005039F0" w:rsidRDefault="00503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3D6B" w14:textId="4A255378" w:rsidR="007A1E9F" w:rsidRPr="001E34C1" w:rsidRDefault="00F25E74" w:rsidP="001E34C1">
    <w:pPr>
      <w:tabs>
        <w:tab w:val="center" w:pos="4550"/>
        <w:tab w:val="left" w:pos="5818"/>
      </w:tabs>
      <w:ind w:right="260"/>
      <w:jc w:val="right"/>
      <w:rPr>
        <w:color w:val="8496B0" w:themeColor="text2" w:themeTint="99"/>
        <w:spacing w:val="60"/>
        <w:sz w:val="24"/>
        <w:szCs w:val="24"/>
      </w:rPr>
    </w:pPr>
    <w:r>
      <w:rPr>
        <w:color w:val="8496B0" w:themeColor="text2" w:themeTint="99"/>
        <w:spacing w:val="60"/>
        <w:sz w:val="24"/>
        <w:szCs w:val="24"/>
      </w:rPr>
      <w:t>Strategic Consultancy</w:t>
    </w:r>
    <w:r w:rsidR="00421687">
      <w:rPr>
        <w:color w:val="8496B0" w:themeColor="text2" w:themeTint="99"/>
        <w:spacing w:val="60"/>
        <w:sz w:val="24"/>
        <w:szCs w:val="24"/>
      </w:rPr>
      <w:t xml:space="preserve"> </w:t>
    </w:r>
    <w:r w:rsidR="00B22FC5">
      <w:rPr>
        <w:color w:val="8496B0" w:themeColor="text2" w:themeTint="99"/>
        <w:spacing w:val="60"/>
        <w:sz w:val="24"/>
        <w:szCs w:val="24"/>
      </w:rPr>
      <w:t>Assignment Guidelines, v</w:t>
    </w:r>
    <w:r w:rsidR="00971775">
      <w:rPr>
        <w:color w:val="8496B0" w:themeColor="text2" w:themeTint="99"/>
        <w:spacing w:val="60"/>
        <w:sz w:val="24"/>
        <w:szCs w:val="24"/>
      </w:rPr>
      <w:t>1</w:t>
    </w:r>
    <w:r w:rsidR="001E34C1">
      <w:rPr>
        <w:color w:val="8496B0" w:themeColor="text2" w:themeTint="99"/>
        <w:spacing w:val="60"/>
        <w:sz w:val="24"/>
        <w:szCs w:val="24"/>
      </w:rPr>
      <w:t>5</w:t>
    </w:r>
    <w:r w:rsidR="00B22FC5">
      <w:rPr>
        <w:color w:val="8496B0" w:themeColor="text2" w:themeTint="99"/>
        <w:spacing w:val="60"/>
        <w:sz w:val="24"/>
        <w:szCs w:val="24"/>
      </w:rPr>
      <w:t>.</w:t>
    </w:r>
    <w:r w:rsidR="00971775">
      <w:rPr>
        <w:color w:val="8496B0" w:themeColor="text2" w:themeTint="99"/>
        <w:spacing w:val="60"/>
        <w:sz w:val="24"/>
        <w:szCs w:val="24"/>
      </w:rPr>
      <w:t>0</w:t>
    </w:r>
    <w:r w:rsidR="001E34C1">
      <w:rPr>
        <w:color w:val="8496B0" w:themeColor="text2" w:themeTint="99"/>
        <w:spacing w:val="60"/>
        <w:sz w:val="24"/>
        <w:szCs w:val="24"/>
      </w:rPr>
      <w:t>7</w:t>
    </w:r>
    <w:r w:rsidR="00B22FC5">
      <w:rPr>
        <w:color w:val="8496B0" w:themeColor="text2" w:themeTint="99"/>
        <w:spacing w:val="60"/>
        <w:sz w:val="24"/>
        <w:szCs w:val="24"/>
      </w:rPr>
      <w:t>.</w:t>
    </w:r>
    <w:r w:rsidR="00117CCA">
      <w:rPr>
        <w:color w:val="8496B0" w:themeColor="text2" w:themeTint="99"/>
        <w:spacing w:val="60"/>
        <w:sz w:val="24"/>
        <w:szCs w:val="24"/>
      </w:rPr>
      <w:t>2</w:t>
    </w:r>
    <w:r w:rsidR="001E34C1">
      <w:rPr>
        <w:color w:val="8496B0" w:themeColor="text2" w:themeTint="99"/>
        <w:spacing w:val="60"/>
        <w:sz w:val="24"/>
        <w:szCs w:val="24"/>
      </w:rPr>
      <w:t>5</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52A6D" w14:textId="77777777" w:rsidR="005039F0" w:rsidRDefault="005039F0" w:rsidP="009B64EB">
      <w:pPr>
        <w:spacing w:after="0" w:line="240" w:lineRule="auto"/>
      </w:pPr>
      <w:r>
        <w:separator/>
      </w:r>
    </w:p>
  </w:footnote>
  <w:footnote w:type="continuationSeparator" w:id="0">
    <w:p w14:paraId="3B3874BD" w14:textId="77777777" w:rsidR="005039F0" w:rsidRDefault="005039F0" w:rsidP="009B64EB">
      <w:pPr>
        <w:spacing w:after="0" w:line="240" w:lineRule="auto"/>
      </w:pPr>
      <w:r>
        <w:continuationSeparator/>
      </w:r>
    </w:p>
  </w:footnote>
  <w:footnote w:type="continuationNotice" w:id="1">
    <w:p w14:paraId="4EED2C2A" w14:textId="77777777" w:rsidR="005039F0" w:rsidRDefault="005039F0">
      <w:pPr>
        <w:spacing w:after="0" w:line="240" w:lineRule="auto"/>
      </w:pPr>
    </w:p>
  </w:footnote>
  <w:footnote w:id="2">
    <w:p w14:paraId="249F2D7F" w14:textId="77777777" w:rsidR="00A7080A" w:rsidRPr="007542AD" w:rsidRDefault="00A7080A" w:rsidP="00A7080A">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09A12A7F" w14:textId="77777777" w:rsidR="00A7080A" w:rsidRPr="007542AD" w:rsidRDefault="00A7080A" w:rsidP="00A7080A">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6E7F6F3" w14:textId="77777777" w:rsidR="00A7080A" w:rsidRPr="007542AD" w:rsidRDefault="00A7080A" w:rsidP="00A7080A">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0BF96D38" w14:textId="77777777" w:rsidR="00A7080A" w:rsidRPr="007542AD" w:rsidRDefault="00A7080A" w:rsidP="00A7080A">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31D"/>
    <w:multiLevelType w:val="hybridMultilevel"/>
    <w:tmpl w:val="B5C26078"/>
    <w:lvl w:ilvl="0" w:tplc="18090001">
      <w:start w:val="1"/>
      <w:numFmt w:val="bullet"/>
      <w:lvlText w:val=""/>
      <w:lvlJc w:val="left"/>
      <w:pPr>
        <w:ind w:left="-130" w:hanging="360"/>
      </w:pPr>
      <w:rPr>
        <w:rFonts w:ascii="Symbol" w:hAnsi="Symbol"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 w15:restartNumberingAfterBreak="0">
    <w:nsid w:val="164E627E"/>
    <w:multiLevelType w:val="hybridMultilevel"/>
    <w:tmpl w:val="3F18087A"/>
    <w:lvl w:ilvl="0" w:tplc="17383716">
      <w:start w:val="5"/>
      <w:numFmt w:val="decimal"/>
      <w:lvlText w:val="%1"/>
      <w:lvlJc w:val="left"/>
      <w:pPr>
        <w:ind w:left="-490" w:hanging="360"/>
      </w:pPr>
      <w:rPr>
        <w:rFonts w:hint="default"/>
      </w:rPr>
    </w:lvl>
    <w:lvl w:ilvl="1" w:tplc="18090019" w:tentative="1">
      <w:start w:val="1"/>
      <w:numFmt w:val="lowerLetter"/>
      <w:lvlText w:val="%2."/>
      <w:lvlJc w:val="left"/>
      <w:pPr>
        <w:ind w:left="230" w:hanging="360"/>
      </w:pPr>
    </w:lvl>
    <w:lvl w:ilvl="2" w:tplc="1809001B" w:tentative="1">
      <w:start w:val="1"/>
      <w:numFmt w:val="lowerRoman"/>
      <w:lvlText w:val="%3."/>
      <w:lvlJc w:val="right"/>
      <w:pPr>
        <w:ind w:left="950" w:hanging="180"/>
      </w:pPr>
    </w:lvl>
    <w:lvl w:ilvl="3" w:tplc="1809000F" w:tentative="1">
      <w:start w:val="1"/>
      <w:numFmt w:val="decimal"/>
      <w:lvlText w:val="%4."/>
      <w:lvlJc w:val="left"/>
      <w:pPr>
        <w:ind w:left="1670" w:hanging="360"/>
      </w:pPr>
    </w:lvl>
    <w:lvl w:ilvl="4" w:tplc="18090019" w:tentative="1">
      <w:start w:val="1"/>
      <w:numFmt w:val="lowerLetter"/>
      <w:lvlText w:val="%5."/>
      <w:lvlJc w:val="left"/>
      <w:pPr>
        <w:ind w:left="2390" w:hanging="360"/>
      </w:pPr>
    </w:lvl>
    <w:lvl w:ilvl="5" w:tplc="1809001B" w:tentative="1">
      <w:start w:val="1"/>
      <w:numFmt w:val="lowerRoman"/>
      <w:lvlText w:val="%6."/>
      <w:lvlJc w:val="right"/>
      <w:pPr>
        <w:ind w:left="3110" w:hanging="180"/>
      </w:pPr>
    </w:lvl>
    <w:lvl w:ilvl="6" w:tplc="1809000F" w:tentative="1">
      <w:start w:val="1"/>
      <w:numFmt w:val="decimal"/>
      <w:lvlText w:val="%7."/>
      <w:lvlJc w:val="left"/>
      <w:pPr>
        <w:ind w:left="3830" w:hanging="360"/>
      </w:pPr>
    </w:lvl>
    <w:lvl w:ilvl="7" w:tplc="18090019" w:tentative="1">
      <w:start w:val="1"/>
      <w:numFmt w:val="lowerLetter"/>
      <w:lvlText w:val="%8."/>
      <w:lvlJc w:val="left"/>
      <w:pPr>
        <w:ind w:left="4550" w:hanging="360"/>
      </w:pPr>
    </w:lvl>
    <w:lvl w:ilvl="8" w:tplc="1809001B" w:tentative="1">
      <w:start w:val="1"/>
      <w:numFmt w:val="lowerRoman"/>
      <w:lvlText w:val="%9."/>
      <w:lvlJc w:val="right"/>
      <w:pPr>
        <w:ind w:left="5270" w:hanging="180"/>
      </w:pPr>
    </w:lvl>
  </w:abstractNum>
  <w:abstractNum w:abstractNumId="2" w15:restartNumberingAfterBreak="0">
    <w:nsid w:val="1BA94932"/>
    <w:multiLevelType w:val="hybridMultilevel"/>
    <w:tmpl w:val="805A6F7A"/>
    <w:lvl w:ilvl="0" w:tplc="5204F05E">
      <w:start w:val="1"/>
      <w:numFmt w:val="bullet"/>
      <w:lvlText w:val="o"/>
      <w:lvlJc w:val="left"/>
      <w:pPr>
        <w:ind w:left="-130" w:hanging="360"/>
      </w:pPr>
      <w:rPr>
        <w:rFonts w:ascii="Courier New" w:hAnsi="Courier New" w:hint="default"/>
        <w:color w:val="auto"/>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3"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01268B3"/>
    <w:multiLevelType w:val="hybridMultilevel"/>
    <w:tmpl w:val="961658AE"/>
    <w:lvl w:ilvl="0" w:tplc="3BBC2B8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33B146E5"/>
    <w:multiLevelType w:val="hybridMultilevel"/>
    <w:tmpl w:val="9928165C"/>
    <w:lvl w:ilvl="0" w:tplc="26CCAEC0">
      <w:start w:val="4"/>
      <w:numFmt w:val="bullet"/>
      <w:lvlText w:val="-"/>
      <w:lvlJc w:val="left"/>
      <w:pPr>
        <w:ind w:left="3960" w:hanging="360"/>
      </w:pPr>
      <w:rPr>
        <w:rFonts w:ascii="Calibri Light" w:eastAsiaTheme="majorEastAsia" w:hAnsi="Calibri Light" w:cs="Calibri Light" w:hint="default"/>
      </w:rPr>
    </w:lvl>
    <w:lvl w:ilvl="1" w:tplc="18090003" w:tentative="1">
      <w:start w:val="1"/>
      <w:numFmt w:val="bullet"/>
      <w:lvlText w:val="o"/>
      <w:lvlJc w:val="left"/>
      <w:pPr>
        <w:ind w:left="4680" w:hanging="360"/>
      </w:pPr>
      <w:rPr>
        <w:rFonts w:ascii="Courier New" w:hAnsi="Courier New" w:cs="Courier New" w:hint="default"/>
      </w:rPr>
    </w:lvl>
    <w:lvl w:ilvl="2" w:tplc="18090005" w:tentative="1">
      <w:start w:val="1"/>
      <w:numFmt w:val="bullet"/>
      <w:lvlText w:val=""/>
      <w:lvlJc w:val="left"/>
      <w:pPr>
        <w:ind w:left="5400" w:hanging="360"/>
      </w:pPr>
      <w:rPr>
        <w:rFonts w:ascii="Wingdings" w:hAnsi="Wingdings" w:hint="default"/>
      </w:rPr>
    </w:lvl>
    <w:lvl w:ilvl="3" w:tplc="18090001" w:tentative="1">
      <w:start w:val="1"/>
      <w:numFmt w:val="bullet"/>
      <w:lvlText w:val=""/>
      <w:lvlJc w:val="left"/>
      <w:pPr>
        <w:ind w:left="6120" w:hanging="360"/>
      </w:pPr>
      <w:rPr>
        <w:rFonts w:ascii="Symbol" w:hAnsi="Symbol" w:hint="default"/>
      </w:rPr>
    </w:lvl>
    <w:lvl w:ilvl="4" w:tplc="18090003" w:tentative="1">
      <w:start w:val="1"/>
      <w:numFmt w:val="bullet"/>
      <w:lvlText w:val="o"/>
      <w:lvlJc w:val="left"/>
      <w:pPr>
        <w:ind w:left="6840" w:hanging="360"/>
      </w:pPr>
      <w:rPr>
        <w:rFonts w:ascii="Courier New" w:hAnsi="Courier New" w:cs="Courier New" w:hint="default"/>
      </w:rPr>
    </w:lvl>
    <w:lvl w:ilvl="5" w:tplc="18090005" w:tentative="1">
      <w:start w:val="1"/>
      <w:numFmt w:val="bullet"/>
      <w:lvlText w:val=""/>
      <w:lvlJc w:val="left"/>
      <w:pPr>
        <w:ind w:left="7560" w:hanging="360"/>
      </w:pPr>
      <w:rPr>
        <w:rFonts w:ascii="Wingdings" w:hAnsi="Wingdings" w:hint="default"/>
      </w:rPr>
    </w:lvl>
    <w:lvl w:ilvl="6" w:tplc="18090001" w:tentative="1">
      <w:start w:val="1"/>
      <w:numFmt w:val="bullet"/>
      <w:lvlText w:val=""/>
      <w:lvlJc w:val="left"/>
      <w:pPr>
        <w:ind w:left="8280" w:hanging="360"/>
      </w:pPr>
      <w:rPr>
        <w:rFonts w:ascii="Symbol" w:hAnsi="Symbol" w:hint="default"/>
      </w:rPr>
    </w:lvl>
    <w:lvl w:ilvl="7" w:tplc="18090003" w:tentative="1">
      <w:start w:val="1"/>
      <w:numFmt w:val="bullet"/>
      <w:lvlText w:val="o"/>
      <w:lvlJc w:val="left"/>
      <w:pPr>
        <w:ind w:left="9000" w:hanging="360"/>
      </w:pPr>
      <w:rPr>
        <w:rFonts w:ascii="Courier New" w:hAnsi="Courier New" w:cs="Courier New" w:hint="default"/>
      </w:rPr>
    </w:lvl>
    <w:lvl w:ilvl="8" w:tplc="18090005" w:tentative="1">
      <w:start w:val="1"/>
      <w:numFmt w:val="bullet"/>
      <w:lvlText w:val=""/>
      <w:lvlJc w:val="left"/>
      <w:pPr>
        <w:ind w:left="9720" w:hanging="360"/>
      </w:pPr>
      <w:rPr>
        <w:rFonts w:ascii="Wingdings" w:hAnsi="Wingdings" w:hint="default"/>
      </w:rPr>
    </w:lvl>
  </w:abstractNum>
  <w:abstractNum w:abstractNumId="6"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7"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9"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A3E7878"/>
    <w:multiLevelType w:val="hybridMultilevel"/>
    <w:tmpl w:val="4608F4AE"/>
    <w:lvl w:ilvl="0" w:tplc="18090001">
      <w:start w:val="1"/>
      <w:numFmt w:val="bullet"/>
      <w:lvlText w:val=""/>
      <w:lvlJc w:val="left"/>
      <w:pPr>
        <w:ind w:left="-130" w:hanging="360"/>
      </w:pPr>
      <w:rPr>
        <w:rFonts w:ascii="Symbol" w:hAnsi="Symbol"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1" w15:restartNumberingAfterBreak="0">
    <w:nsid w:val="4B751D57"/>
    <w:multiLevelType w:val="hybridMultilevel"/>
    <w:tmpl w:val="8A44F33E"/>
    <w:lvl w:ilvl="0" w:tplc="9A0C6A9E">
      <w:numFmt w:val="bullet"/>
      <w:lvlText w:val="•"/>
      <w:lvlJc w:val="left"/>
      <w:pPr>
        <w:ind w:left="-130" w:hanging="360"/>
      </w:pPr>
      <w:rPr>
        <w:rFonts w:ascii="Calibri" w:eastAsiaTheme="minorHAnsi" w:hAnsi="Calibri" w:cs="Calibri" w:hint="default"/>
        <w:color w:val="auto"/>
      </w:rPr>
    </w:lvl>
    <w:lvl w:ilvl="1" w:tplc="FFFFFFFF" w:tentative="1">
      <w:start w:val="1"/>
      <w:numFmt w:val="bullet"/>
      <w:lvlText w:val="o"/>
      <w:lvlJc w:val="left"/>
      <w:pPr>
        <w:ind w:left="590" w:hanging="360"/>
      </w:pPr>
      <w:rPr>
        <w:rFonts w:ascii="Courier New" w:hAnsi="Courier New" w:cs="Courier New" w:hint="default"/>
      </w:rPr>
    </w:lvl>
    <w:lvl w:ilvl="2" w:tplc="FFFFFFFF" w:tentative="1">
      <w:start w:val="1"/>
      <w:numFmt w:val="bullet"/>
      <w:lvlText w:val=""/>
      <w:lvlJc w:val="left"/>
      <w:pPr>
        <w:ind w:left="1310" w:hanging="360"/>
      </w:pPr>
      <w:rPr>
        <w:rFonts w:ascii="Wingdings" w:hAnsi="Wingdings" w:hint="default"/>
      </w:rPr>
    </w:lvl>
    <w:lvl w:ilvl="3" w:tplc="FFFFFFFF" w:tentative="1">
      <w:start w:val="1"/>
      <w:numFmt w:val="bullet"/>
      <w:lvlText w:val=""/>
      <w:lvlJc w:val="left"/>
      <w:pPr>
        <w:ind w:left="2030" w:hanging="360"/>
      </w:pPr>
      <w:rPr>
        <w:rFonts w:ascii="Symbol" w:hAnsi="Symbol" w:hint="default"/>
      </w:rPr>
    </w:lvl>
    <w:lvl w:ilvl="4" w:tplc="FFFFFFFF" w:tentative="1">
      <w:start w:val="1"/>
      <w:numFmt w:val="bullet"/>
      <w:lvlText w:val="o"/>
      <w:lvlJc w:val="left"/>
      <w:pPr>
        <w:ind w:left="2750" w:hanging="360"/>
      </w:pPr>
      <w:rPr>
        <w:rFonts w:ascii="Courier New" w:hAnsi="Courier New" w:cs="Courier New" w:hint="default"/>
      </w:rPr>
    </w:lvl>
    <w:lvl w:ilvl="5" w:tplc="FFFFFFFF" w:tentative="1">
      <w:start w:val="1"/>
      <w:numFmt w:val="bullet"/>
      <w:lvlText w:val=""/>
      <w:lvlJc w:val="left"/>
      <w:pPr>
        <w:ind w:left="3470" w:hanging="360"/>
      </w:pPr>
      <w:rPr>
        <w:rFonts w:ascii="Wingdings" w:hAnsi="Wingdings" w:hint="default"/>
      </w:rPr>
    </w:lvl>
    <w:lvl w:ilvl="6" w:tplc="FFFFFFFF" w:tentative="1">
      <w:start w:val="1"/>
      <w:numFmt w:val="bullet"/>
      <w:lvlText w:val=""/>
      <w:lvlJc w:val="left"/>
      <w:pPr>
        <w:ind w:left="4190" w:hanging="360"/>
      </w:pPr>
      <w:rPr>
        <w:rFonts w:ascii="Symbol" w:hAnsi="Symbol" w:hint="default"/>
      </w:rPr>
    </w:lvl>
    <w:lvl w:ilvl="7" w:tplc="FFFFFFFF" w:tentative="1">
      <w:start w:val="1"/>
      <w:numFmt w:val="bullet"/>
      <w:lvlText w:val="o"/>
      <w:lvlJc w:val="left"/>
      <w:pPr>
        <w:ind w:left="4910" w:hanging="360"/>
      </w:pPr>
      <w:rPr>
        <w:rFonts w:ascii="Courier New" w:hAnsi="Courier New" w:cs="Courier New" w:hint="default"/>
      </w:rPr>
    </w:lvl>
    <w:lvl w:ilvl="8" w:tplc="FFFFFFFF" w:tentative="1">
      <w:start w:val="1"/>
      <w:numFmt w:val="bullet"/>
      <w:lvlText w:val=""/>
      <w:lvlJc w:val="left"/>
      <w:pPr>
        <w:ind w:left="5630" w:hanging="360"/>
      </w:pPr>
      <w:rPr>
        <w:rFonts w:ascii="Wingdings" w:hAnsi="Wingdings" w:hint="default"/>
      </w:rPr>
    </w:lvl>
  </w:abstractNum>
  <w:abstractNum w:abstractNumId="12" w15:restartNumberingAfterBreak="0">
    <w:nsid w:val="58E74E79"/>
    <w:multiLevelType w:val="hybridMultilevel"/>
    <w:tmpl w:val="5B60CC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D3A552D"/>
    <w:multiLevelType w:val="hybridMultilevel"/>
    <w:tmpl w:val="B0B49D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0196755"/>
    <w:multiLevelType w:val="hybridMultilevel"/>
    <w:tmpl w:val="1CE2532E"/>
    <w:lvl w:ilvl="0" w:tplc="05FC0C82">
      <w:start w:val="2"/>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15" w15:restartNumberingAfterBreak="0">
    <w:nsid w:val="6EA44BD9"/>
    <w:multiLevelType w:val="hybridMultilevel"/>
    <w:tmpl w:val="D3F85ED4"/>
    <w:lvl w:ilvl="0" w:tplc="D472CB04">
      <w:start w:val="6"/>
      <w:numFmt w:val="decimal"/>
      <w:lvlText w:val="%1"/>
      <w:lvlJc w:val="left"/>
      <w:pPr>
        <w:ind w:left="-130" w:hanging="360"/>
      </w:pPr>
      <w:rPr>
        <w:rFonts w:hint="default"/>
      </w:rPr>
    </w:lvl>
    <w:lvl w:ilvl="1" w:tplc="18090019" w:tentative="1">
      <w:start w:val="1"/>
      <w:numFmt w:val="lowerLetter"/>
      <w:lvlText w:val="%2."/>
      <w:lvlJc w:val="left"/>
      <w:pPr>
        <w:ind w:left="590" w:hanging="360"/>
      </w:pPr>
    </w:lvl>
    <w:lvl w:ilvl="2" w:tplc="1809001B" w:tentative="1">
      <w:start w:val="1"/>
      <w:numFmt w:val="lowerRoman"/>
      <w:lvlText w:val="%3."/>
      <w:lvlJc w:val="right"/>
      <w:pPr>
        <w:ind w:left="1310" w:hanging="180"/>
      </w:pPr>
    </w:lvl>
    <w:lvl w:ilvl="3" w:tplc="1809000F" w:tentative="1">
      <w:start w:val="1"/>
      <w:numFmt w:val="decimal"/>
      <w:lvlText w:val="%4."/>
      <w:lvlJc w:val="left"/>
      <w:pPr>
        <w:ind w:left="2030" w:hanging="360"/>
      </w:pPr>
    </w:lvl>
    <w:lvl w:ilvl="4" w:tplc="18090019" w:tentative="1">
      <w:start w:val="1"/>
      <w:numFmt w:val="lowerLetter"/>
      <w:lvlText w:val="%5."/>
      <w:lvlJc w:val="left"/>
      <w:pPr>
        <w:ind w:left="2750" w:hanging="360"/>
      </w:pPr>
    </w:lvl>
    <w:lvl w:ilvl="5" w:tplc="1809001B" w:tentative="1">
      <w:start w:val="1"/>
      <w:numFmt w:val="lowerRoman"/>
      <w:lvlText w:val="%6."/>
      <w:lvlJc w:val="right"/>
      <w:pPr>
        <w:ind w:left="3470" w:hanging="180"/>
      </w:pPr>
    </w:lvl>
    <w:lvl w:ilvl="6" w:tplc="1809000F" w:tentative="1">
      <w:start w:val="1"/>
      <w:numFmt w:val="decimal"/>
      <w:lvlText w:val="%7."/>
      <w:lvlJc w:val="left"/>
      <w:pPr>
        <w:ind w:left="4190" w:hanging="360"/>
      </w:pPr>
    </w:lvl>
    <w:lvl w:ilvl="7" w:tplc="18090019" w:tentative="1">
      <w:start w:val="1"/>
      <w:numFmt w:val="lowerLetter"/>
      <w:lvlText w:val="%8."/>
      <w:lvlJc w:val="left"/>
      <w:pPr>
        <w:ind w:left="4910" w:hanging="360"/>
      </w:pPr>
    </w:lvl>
    <w:lvl w:ilvl="8" w:tplc="1809001B" w:tentative="1">
      <w:start w:val="1"/>
      <w:numFmt w:val="lowerRoman"/>
      <w:lvlText w:val="%9."/>
      <w:lvlJc w:val="right"/>
      <w:pPr>
        <w:ind w:left="5630" w:hanging="180"/>
      </w:pPr>
    </w:lvl>
  </w:abstractNum>
  <w:abstractNum w:abstractNumId="16" w15:restartNumberingAfterBreak="0">
    <w:nsid w:val="76446453"/>
    <w:multiLevelType w:val="hybridMultilevel"/>
    <w:tmpl w:val="55E6C8A0"/>
    <w:lvl w:ilvl="0" w:tplc="AEF0B1CC">
      <w:start w:val="4"/>
      <w:numFmt w:val="decimal"/>
      <w:lvlText w:val="%1"/>
      <w:lvlJc w:val="left"/>
      <w:pPr>
        <w:ind w:left="-490" w:hanging="360"/>
      </w:pPr>
      <w:rPr>
        <w:rFonts w:hint="default"/>
      </w:rPr>
    </w:lvl>
    <w:lvl w:ilvl="1" w:tplc="18090019" w:tentative="1">
      <w:start w:val="1"/>
      <w:numFmt w:val="lowerLetter"/>
      <w:lvlText w:val="%2."/>
      <w:lvlJc w:val="left"/>
      <w:pPr>
        <w:ind w:left="230" w:hanging="360"/>
      </w:pPr>
    </w:lvl>
    <w:lvl w:ilvl="2" w:tplc="1809001B" w:tentative="1">
      <w:start w:val="1"/>
      <w:numFmt w:val="lowerRoman"/>
      <w:lvlText w:val="%3."/>
      <w:lvlJc w:val="right"/>
      <w:pPr>
        <w:ind w:left="950" w:hanging="180"/>
      </w:pPr>
    </w:lvl>
    <w:lvl w:ilvl="3" w:tplc="1809000F" w:tentative="1">
      <w:start w:val="1"/>
      <w:numFmt w:val="decimal"/>
      <w:lvlText w:val="%4."/>
      <w:lvlJc w:val="left"/>
      <w:pPr>
        <w:ind w:left="1670" w:hanging="360"/>
      </w:pPr>
    </w:lvl>
    <w:lvl w:ilvl="4" w:tplc="18090019" w:tentative="1">
      <w:start w:val="1"/>
      <w:numFmt w:val="lowerLetter"/>
      <w:lvlText w:val="%5."/>
      <w:lvlJc w:val="left"/>
      <w:pPr>
        <w:ind w:left="2390" w:hanging="360"/>
      </w:pPr>
    </w:lvl>
    <w:lvl w:ilvl="5" w:tplc="1809001B" w:tentative="1">
      <w:start w:val="1"/>
      <w:numFmt w:val="lowerRoman"/>
      <w:lvlText w:val="%6."/>
      <w:lvlJc w:val="right"/>
      <w:pPr>
        <w:ind w:left="3110" w:hanging="180"/>
      </w:pPr>
    </w:lvl>
    <w:lvl w:ilvl="6" w:tplc="1809000F" w:tentative="1">
      <w:start w:val="1"/>
      <w:numFmt w:val="decimal"/>
      <w:lvlText w:val="%7."/>
      <w:lvlJc w:val="left"/>
      <w:pPr>
        <w:ind w:left="3830" w:hanging="360"/>
      </w:pPr>
    </w:lvl>
    <w:lvl w:ilvl="7" w:tplc="18090019" w:tentative="1">
      <w:start w:val="1"/>
      <w:numFmt w:val="lowerLetter"/>
      <w:lvlText w:val="%8."/>
      <w:lvlJc w:val="left"/>
      <w:pPr>
        <w:ind w:left="4550" w:hanging="360"/>
      </w:pPr>
    </w:lvl>
    <w:lvl w:ilvl="8" w:tplc="1809001B" w:tentative="1">
      <w:start w:val="1"/>
      <w:numFmt w:val="lowerRoman"/>
      <w:lvlText w:val="%9."/>
      <w:lvlJc w:val="right"/>
      <w:pPr>
        <w:ind w:left="5270" w:hanging="180"/>
      </w:pPr>
    </w:lvl>
  </w:abstractNum>
  <w:abstractNum w:abstractNumId="17"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1678764">
    <w:abstractNumId w:val="17"/>
  </w:num>
  <w:num w:numId="2" w16cid:durableId="809052679">
    <w:abstractNumId w:val="9"/>
  </w:num>
  <w:num w:numId="3" w16cid:durableId="857498862">
    <w:abstractNumId w:val="8"/>
  </w:num>
  <w:num w:numId="4" w16cid:durableId="278225607">
    <w:abstractNumId w:val="12"/>
  </w:num>
  <w:num w:numId="5" w16cid:durableId="226574433">
    <w:abstractNumId w:val="13"/>
  </w:num>
  <w:num w:numId="6" w16cid:durableId="1368410072">
    <w:abstractNumId w:val="1"/>
  </w:num>
  <w:num w:numId="7" w16cid:durableId="614874112">
    <w:abstractNumId w:val="2"/>
  </w:num>
  <w:num w:numId="8" w16cid:durableId="606238542">
    <w:abstractNumId w:val="11"/>
  </w:num>
  <w:num w:numId="9" w16cid:durableId="176623986">
    <w:abstractNumId w:val="5"/>
  </w:num>
  <w:num w:numId="10" w16cid:durableId="1182015618">
    <w:abstractNumId w:val="10"/>
  </w:num>
  <w:num w:numId="11" w16cid:durableId="789857420">
    <w:abstractNumId w:val="0"/>
  </w:num>
  <w:num w:numId="12" w16cid:durableId="432242666">
    <w:abstractNumId w:val="7"/>
  </w:num>
  <w:num w:numId="13" w16cid:durableId="242108260">
    <w:abstractNumId w:val="15"/>
  </w:num>
  <w:num w:numId="14" w16cid:durableId="522329718">
    <w:abstractNumId w:val="6"/>
  </w:num>
  <w:num w:numId="15" w16cid:durableId="1401754171">
    <w:abstractNumId w:val="3"/>
  </w:num>
  <w:num w:numId="16" w16cid:durableId="1446970846">
    <w:abstractNumId w:val="16"/>
  </w:num>
  <w:num w:numId="17" w16cid:durableId="72898695">
    <w:abstractNumId w:val="14"/>
  </w:num>
  <w:num w:numId="18" w16cid:durableId="281769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306B"/>
    <w:rsid w:val="00003476"/>
    <w:rsid w:val="00003E5C"/>
    <w:rsid w:val="00005D22"/>
    <w:rsid w:val="000079AB"/>
    <w:rsid w:val="00010692"/>
    <w:rsid w:val="0001103A"/>
    <w:rsid w:val="00013A87"/>
    <w:rsid w:val="00014A27"/>
    <w:rsid w:val="00014B92"/>
    <w:rsid w:val="00015B93"/>
    <w:rsid w:val="00015C77"/>
    <w:rsid w:val="00015E91"/>
    <w:rsid w:val="0002252B"/>
    <w:rsid w:val="00031B9C"/>
    <w:rsid w:val="00042EF7"/>
    <w:rsid w:val="000451B9"/>
    <w:rsid w:val="00047575"/>
    <w:rsid w:val="00052055"/>
    <w:rsid w:val="00060253"/>
    <w:rsid w:val="00062331"/>
    <w:rsid w:val="00065D01"/>
    <w:rsid w:val="000672B7"/>
    <w:rsid w:val="00072D58"/>
    <w:rsid w:val="0007426C"/>
    <w:rsid w:val="000742A8"/>
    <w:rsid w:val="00084B13"/>
    <w:rsid w:val="0008688F"/>
    <w:rsid w:val="00087372"/>
    <w:rsid w:val="00087F1A"/>
    <w:rsid w:val="00091B9D"/>
    <w:rsid w:val="00096A94"/>
    <w:rsid w:val="000A5412"/>
    <w:rsid w:val="000B6216"/>
    <w:rsid w:val="000C4B9C"/>
    <w:rsid w:val="000D4882"/>
    <w:rsid w:val="000E0C03"/>
    <w:rsid w:val="000E232A"/>
    <w:rsid w:val="000E417B"/>
    <w:rsid w:val="000F1B5D"/>
    <w:rsid w:val="000F73EC"/>
    <w:rsid w:val="00103E80"/>
    <w:rsid w:val="00106E06"/>
    <w:rsid w:val="0010767D"/>
    <w:rsid w:val="0011023F"/>
    <w:rsid w:val="0011046B"/>
    <w:rsid w:val="0011089A"/>
    <w:rsid w:val="001118E5"/>
    <w:rsid w:val="00117CCA"/>
    <w:rsid w:val="00122CFB"/>
    <w:rsid w:val="0012387F"/>
    <w:rsid w:val="00131375"/>
    <w:rsid w:val="00131A2C"/>
    <w:rsid w:val="00136746"/>
    <w:rsid w:val="00141A75"/>
    <w:rsid w:val="0014241A"/>
    <w:rsid w:val="00142B03"/>
    <w:rsid w:val="001449CF"/>
    <w:rsid w:val="00144EAC"/>
    <w:rsid w:val="0014595A"/>
    <w:rsid w:val="00155703"/>
    <w:rsid w:val="00176ADA"/>
    <w:rsid w:val="00177ECC"/>
    <w:rsid w:val="0018734E"/>
    <w:rsid w:val="001928B0"/>
    <w:rsid w:val="001960EB"/>
    <w:rsid w:val="001A1F99"/>
    <w:rsid w:val="001A361D"/>
    <w:rsid w:val="001B16DB"/>
    <w:rsid w:val="001B48F1"/>
    <w:rsid w:val="001B587C"/>
    <w:rsid w:val="001C4588"/>
    <w:rsid w:val="001C4C04"/>
    <w:rsid w:val="001D3205"/>
    <w:rsid w:val="001D32F0"/>
    <w:rsid w:val="001D4316"/>
    <w:rsid w:val="001D690D"/>
    <w:rsid w:val="001E34C1"/>
    <w:rsid w:val="001F19F4"/>
    <w:rsid w:val="001F265C"/>
    <w:rsid w:val="001F4FD8"/>
    <w:rsid w:val="001F64A2"/>
    <w:rsid w:val="002005CC"/>
    <w:rsid w:val="00206094"/>
    <w:rsid w:val="002069B8"/>
    <w:rsid w:val="00210CE7"/>
    <w:rsid w:val="002121A1"/>
    <w:rsid w:val="002121EA"/>
    <w:rsid w:val="00214E94"/>
    <w:rsid w:val="00223384"/>
    <w:rsid w:val="00223839"/>
    <w:rsid w:val="00223965"/>
    <w:rsid w:val="00226A3C"/>
    <w:rsid w:val="0023550F"/>
    <w:rsid w:val="002358F4"/>
    <w:rsid w:val="00235BF1"/>
    <w:rsid w:val="00235F5E"/>
    <w:rsid w:val="0023779A"/>
    <w:rsid w:val="00243E8F"/>
    <w:rsid w:val="00244D4E"/>
    <w:rsid w:val="00250B57"/>
    <w:rsid w:val="00255E1A"/>
    <w:rsid w:val="00257105"/>
    <w:rsid w:val="00265879"/>
    <w:rsid w:val="002754CA"/>
    <w:rsid w:val="00282E11"/>
    <w:rsid w:val="00286FFD"/>
    <w:rsid w:val="0029208E"/>
    <w:rsid w:val="002A05BF"/>
    <w:rsid w:val="002A252F"/>
    <w:rsid w:val="002A6EC0"/>
    <w:rsid w:val="002A73E6"/>
    <w:rsid w:val="002B10E1"/>
    <w:rsid w:val="002B16E1"/>
    <w:rsid w:val="002B5A52"/>
    <w:rsid w:val="002B5EF8"/>
    <w:rsid w:val="002C0AFF"/>
    <w:rsid w:val="002D0F12"/>
    <w:rsid w:val="002D1F24"/>
    <w:rsid w:val="002D2E23"/>
    <w:rsid w:val="002D3401"/>
    <w:rsid w:val="002D6038"/>
    <w:rsid w:val="002E3200"/>
    <w:rsid w:val="002E4535"/>
    <w:rsid w:val="002E5F09"/>
    <w:rsid w:val="002E6A4D"/>
    <w:rsid w:val="003028D6"/>
    <w:rsid w:val="00312536"/>
    <w:rsid w:val="00312D50"/>
    <w:rsid w:val="003161D8"/>
    <w:rsid w:val="0032464C"/>
    <w:rsid w:val="0033543D"/>
    <w:rsid w:val="0034117E"/>
    <w:rsid w:val="00346418"/>
    <w:rsid w:val="00350DA6"/>
    <w:rsid w:val="0035436E"/>
    <w:rsid w:val="00355CA7"/>
    <w:rsid w:val="003571B2"/>
    <w:rsid w:val="003656F1"/>
    <w:rsid w:val="003659E8"/>
    <w:rsid w:val="003747AA"/>
    <w:rsid w:val="00377821"/>
    <w:rsid w:val="00381948"/>
    <w:rsid w:val="0038532E"/>
    <w:rsid w:val="003855CF"/>
    <w:rsid w:val="00387F7A"/>
    <w:rsid w:val="00397ED5"/>
    <w:rsid w:val="003A3721"/>
    <w:rsid w:val="003A7267"/>
    <w:rsid w:val="003B225F"/>
    <w:rsid w:val="003B65FE"/>
    <w:rsid w:val="003C023F"/>
    <w:rsid w:val="003C23A7"/>
    <w:rsid w:val="003C6D6F"/>
    <w:rsid w:val="003C715F"/>
    <w:rsid w:val="003D0D22"/>
    <w:rsid w:val="003D25FC"/>
    <w:rsid w:val="003D630C"/>
    <w:rsid w:val="003F39AB"/>
    <w:rsid w:val="003F51C7"/>
    <w:rsid w:val="003F5B3A"/>
    <w:rsid w:val="003F6F46"/>
    <w:rsid w:val="00407AD0"/>
    <w:rsid w:val="0041620B"/>
    <w:rsid w:val="00421687"/>
    <w:rsid w:val="00421EB8"/>
    <w:rsid w:val="0042428C"/>
    <w:rsid w:val="0042627F"/>
    <w:rsid w:val="004279E0"/>
    <w:rsid w:val="0043008E"/>
    <w:rsid w:val="004325DA"/>
    <w:rsid w:val="00433D45"/>
    <w:rsid w:val="00435F90"/>
    <w:rsid w:val="004420C5"/>
    <w:rsid w:val="004421FF"/>
    <w:rsid w:val="00443EE2"/>
    <w:rsid w:val="00445B96"/>
    <w:rsid w:val="00446E1F"/>
    <w:rsid w:val="004552CB"/>
    <w:rsid w:val="00464AE9"/>
    <w:rsid w:val="0047026A"/>
    <w:rsid w:val="0047441C"/>
    <w:rsid w:val="00474FC8"/>
    <w:rsid w:val="00477976"/>
    <w:rsid w:val="00477DD1"/>
    <w:rsid w:val="00483113"/>
    <w:rsid w:val="00490197"/>
    <w:rsid w:val="004921CC"/>
    <w:rsid w:val="004A2908"/>
    <w:rsid w:val="004A294D"/>
    <w:rsid w:val="004B008F"/>
    <w:rsid w:val="004C0502"/>
    <w:rsid w:val="004C3AA0"/>
    <w:rsid w:val="004D12D5"/>
    <w:rsid w:val="004D27A6"/>
    <w:rsid w:val="004E4EFD"/>
    <w:rsid w:val="004E6458"/>
    <w:rsid w:val="004F107A"/>
    <w:rsid w:val="004F6B19"/>
    <w:rsid w:val="00501FB1"/>
    <w:rsid w:val="00502DBD"/>
    <w:rsid w:val="005039F0"/>
    <w:rsid w:val="0051015A"/>
    <w:rsid w:val="00512645"/>
    <w:rsid w:val="005134D0"/>
    <w:rsid w:val="0051565B"/>
    <w:rsid w:val="00515D6C"/>
    <w:rsid w:val="00516CDE"/>
    <w:rsid w:val="005170E4"/>
    <w:rsid w:val="0052514F"/>
    <w:rsid w:val="00532494"/>
    <w:rsid w:val="005341D9"/>
    <w:rsid w:val="00535714"/>
    <w:rsid w:val="00540FA7"/>
    <w:rsid w:val="00545AFF"/>
    <w:rsid w:val="005476AE"/>
    <w:rsid w:val="00550AB0"/>
    <w:rsid w:val="00551553"/>
    <w:rsid w:val="0055202D"/>
    <w:rsid w:val="00552605"/>
    <w:rsid w:val="005551B3"/>
    <w:rsid w:val="00562315"/>
    <w:rsid w:val="00570DA1"/>
    <w:rsid w:val="00575D76"/>
    <w:rsid w:val="0057739F"/>
    <w:rsid w:val="00585D1C"/>
    <w:rsid w:val="00590B99"/>
    <w:rsid w:val="00594D1F"/>
    <w:rsid w:val="005A2291"/>
    <w:rsid w:val="005A4F6E"/>
    <w:rsid w:val="005A7928"/>
    <w:rsid w:val="005C7903"/>
    <w:rsid w:val="005D2406"/>
    <w:rsid w:val="005D3505"/>
    <w:rsid w:val="005D4AD3"/>
    <w:rsid w:val="005D544D"/>
    <w:rsid w:val="005D74C6"/>
    <w:rsid w:val="005E3C2B"/>
    <w:rsid w:val="005F22BE"/>
    <w:rsid w:val="005F5E71"/>
    <w:rsid w:val="006003A7"/>
    <w:rsid w:val="0060368B"/>
    <w:rsid w:val="006131CE"/>
    <w:rsid w:val="00615DB3"/>
    <w:rsid w:val="00621BF4"/>
    <w:rsid w:val="006245D1"/>
    <w:rsid w:val="00625D4D"/>
    <w:rsid w:val="00626747"/>
    <w:rsid w:val="00626EF6"/>
    <w:rsid w:val="00627DD5"/>
    <w:rsid w:val="0063059C"/>
    <w:rsid w:val="006343C4"/>
    <w:rsid w:val="006373D3"/>
    <w:rsid w:val="00640F52"/>
    <w:rsid w:val="00641227"/>
    <w:rsid w:val="00650AAE"/>
    <w:rsid w:val="006567EF"/>
    <w:rsid w:val="00660009"/>
    <w:rsid w:val="00660A64"/>
    <w:rsid w:val="00670D39"/>
    <w:rsid w:val="006710C2"/>
    <w:rsid w:val="0067346A"/>
    <w:rsid w:val="00673666"/>
    <w:rsid w:val="00673A39"/>
    <w:rsid w:val="00673DE2"/>
    <w:rsid w:val="0068249E"/>
    <w:rsid w:val="00682DB2"/>
    <w:rsid w:val="00686348"/>
    <w:rsid w:val="00686C2E"/>
    <w:rsid w:val="00686D0B"/>
    <w:rsid w:val="00691928"/>
    <w:rsid w:val="006921C0"/>
    <w:rsid w:val="00692A52"/>
    <w:rsid w:val="006942E2"/>
    <w:rsid w:val="006A370F"/>
    <w:rsid w:val="006B198E"/>
    <w:rsid w:val="006B22BC"/>
    <w:rsid w:val="006B791C"/>
    <w:rsid w:val="006C0BCB"/>
    <w:rsid w:val="006C6028"/>
    <w:rsid w:val="006C6286"/>
    <w:rsid w:val="006C7FB4"/>
    <w:rsid w:val="006D3C0F"/>
    <w:rsid w:val="006D5920"/>
    <w:rsid w:val="006E0513"/>
    <w:rsid w:val="006E4FB4"/>
    <w:rsid w:val="006F31B8"/>
    <w:rsid w:val="006F3D5C"/>
    <w:rsid w:val="00700A77"/>
    <w:rsid w:val="00700AE4"/>
    <w:rsid w:val="00712BDE"/>
    <w:rsid w:val="0071448C"/>
    <w:rsid w:val="007200BB"/>
    <w:rsid w:val="00724E19"/>
    <w:rsid w:val="00724F80"/>
    <w:rsid w:val="00725828"/>
    <w:rsid w:val="00731D91"/>
    <w:rsid w:val="00733297"/>
    <w:rsid w:val="00733E2F"/>
    <w:rsid w:val="0073619E"/>
    <w:rsid w:val="00737924"/>
    <w:rsid w:val="0074037C"/>
    <w:rsid w:val="00741BD7"/>
    <w:rsid w:val="00741CCF"/>
    <w:rsid w:val="00744875"/>
    <w:rsid w:val="00751470"/>
    <w:rsid w:val="00751F28"/>
    <w:rsid w:val="00766F28"/>
    <w:rsid w:val="0077012D"/>
    <w:rsid w:val="00772FBD"/>
    <w:rsid w:val="00773A60"/>
    <w:rsid w:val="00773E7D"/>
    <w:rsid w:val="007813AE"/>
    <w:rsid w:val="00792287"/>
    <w:rsid w:val="007A1A17"/>
    <w:rsid w:val="007A1E9F"/>
    <w:rsid w:val="007A3E01"/>
    <w:rsid w:val="007B47C4"/>
    <w:rsid w:val="007D0F03"/>
    <w:rsid w:val="007E7C34"/>
    <w:rsid w:val="007F0BD7"/>
    <w:rsid w:val="007F5693"/>
    <w:rsid w:val="008012BB"/>
    <w:rsid w:val="00801772"/>
    <w:rsid w:val="00801BDA"/>
    <w:rsid w:val="00802922"/>
    <w:rsid w:val="00805CC2"/>
    <w:rsid w:val="008068AC"/>
    <w:rsid w:val="00815A0F"/>
    <w:rsid w:val="00817AE5"/>
    <w:rsid w:val="00820925"/>
    <w:rsid w:val="008213D5"/>
    <w:rsid w:val="00823097"/>
    <w:rsid w:val="008258C0"/>
    <w:rsid w:val="00833AD9"/>
    <w:rsid w:val="008359D4"/>
    <w:rsid w:val="00845600"/>
    <w:rsid w:val="00854605"/>
    <w:rsid w:val="00855903"/>
    <w:rsid w:val="00856623"/>
    <w:rsid w:val="00856659"/>
    <w:rsid w:val="00857502"/>
    <w:rsid w:val="00857712"/>
    <w:rsid w:val="00862043"/>
    <w:rsid w:val="00863F3C"/>
    <w:rsid w:val="0086612A"/>
    <w:rsid w:val="00871AE8"/>
    <w:rsid w:val="0087209D"/>
    <w:rsid w:val="008727A6"/>
    <w:rsid w:val="0087338A"/>
    <w:rsid w:val="008733DC"/>
    <w:rsid w:val="00875BE8"/>
    <w:rsid w:val="00876720"/>
    <w:rsid w:val="00876917"/>
    <w:rsid w:val="00884C3B"/>
    <w:rsid w:val="00884D98"/>
    <w:rsid w:val="00886096"/>
    <w:rsid w:val="00891B7A"/>
    <w:rsid w:val="00891C17"/>
    <w:rsid w:val="008962F2"/>
    <w:rsid w:val="008A13C3"/>
    <w:rsid w:val="008A1441"/>
    <w:rsid w:val="008A3908"/>
    <w:rsid w:val="008B4417"/>
    <w:rsid w:val="008C222F"/>
    <w:rsid w:val="008D2294"/>
    <w:rsid w:val="008D6D3A"/>
    <w:rsid w:val="008F375C"/>
    <w:rsid w:val="008F4B4D"/>
    <w:rsid w:val="008F681A"/>
    <w:rsid w:val="00900F31"/>
    <w:rsid w:val="00904722"/>
    <w:rsid w:val="009065EC"/>
    <w:rsid w:val="0090787D"/>
    <w:rsid w:val="00911155"/>
    <w:rsid w:val="00913251"/>
    <w:rsid w:val="00917898"/>
    <w:rsid w:val="00926BAA"/>
    <w:rsid w:val="00926FEC"/>
    <w:rsid w:val="00927C1A"/>
    <w:rsid w:val="009345DB"/>
    <w:rsid w:val="009441D0"/>
    <w:rsid w:val="00945DDC"/>
    <w:rsid w:val="0094745A"/>
    <w:rsid w:val="00950C36"/>
    <w:rsid w:val="00950E7B"/>
    <w:rsid w:val="009514E5"/>
    <w:rsid w:val="009545C9"/>
    <w:rsid w:val="00962916"/>
    <w:rsid w:val="0096655E"/>
    <w:rsid w:val="00971775"/>
    <w:rsid w:val="009737C5"/>
    <w:rsid w:val="00975390"/>
    <w:rsid w:val="00977DE2"/>
    <w:rsid w:val="0098177B"/>
    <w:rsid w:val="0098446D"/>
    <w:rsid w:val="00984B8C"/>
    <w:rsid w:val="009851AB"/>
    <w:rsid w:val="00986CCD"/>
    <w:rsid w:val="0099451A"/>
    <w:rsid w:val="00995B86"/>
    <w:rsid w:val="00996835"/>
    <w:rsid w:val="009A00C0"/>
    <w:rsid w:val="009A1550"/>
    <w:rsid w:val="009A6940"/>
    <w:rsid w:val="009A6CCD"/>
    <w:rsid w:val="009A7590"/>
    <w:rsid w:val="009A78D7"/>
    <w:rsid w:val="009B5DBE"/>
    <w:rsid w:val="009B64EB"/>
    <w:rsid w:val="009C2AEF"/>
    <w:rsid w:val="009C5FF0"/>
    <w:rsid w:val="009C610F"/>
    <w:rsid w:val="009D1533"/>
    <w:rsid w:val="009D4A50"/>
    <w:rsid w:val="009D7844"/>
    <w:rsid w:val="009D79D2"/>
    <w:rsid w:val="009E5614"/>
    <w:rsid w:val="009F0834"/>
    <w:rsid w:val="009F2547"/>
    <w:rsid w:val="009F35D8"/>
    <w:rsid w:val="009F5AF0"/>
    <w:rsid w:val="009F671A"/>
    <w:rsid w:val="00A0039A"/>
    <w:rsid w:val="00A06A28"/>
    <w:rsid w:val="00A13231"/>
    <w:rsid w:val="00A170FE"/>
    <w:rsid w:val="00A24DA4"/>
    <w:rsid w:val="00A24F3D"/>
    <w:rsid w:val="00A26098"/>
    <w:rsid w:val="00A338A6"/>
    <w:rsid w:val="00A34567"/>
    <w:rsid w:val="00A37647"/>
    <w:rsid w:val="00A4073C"/>
    <w:rsid w:val="00A40EEB"/>
    <w:rsid w:val="00A44D25"/>
    <w:rsid w:val="00A47A2C"/>
    <w:rsid w:val="00A5076A"/>
    <w:rsid w:val="00A509D0"/>
    <w:rsid w:val="00A50C85"/>
    <w:rsid w:val="00A55217"/>
    <w:rsid w:val="00A606B1"/>
    <w:rsid w:val="00A633B1"/>
    <w:rsid w:val="00A65861"/>
    <w:rsid w:val="00A673A9"/>
    <w:rsid w:val="00A7080A"/>
    <w:rsid w:val="00A70B14"/>
    <w:rsid w:val="00A70CD7"/>
    <w:rsid w:val="00A71F72"/>
    <w:rsid w:val="00A7605F"/>
    <w:rsid w:val="00A81282"/>
    <w:rsid w:val="00A81497"/>
    <w:rsid w:val="00A82433"/>
    <w:rsid w:val="00A828E8"/>
    <w:rsid w:val="00A85B68"/>
    <w:rsid w:val="00AA0437"/>
    <w:rsid w:val="00AA0688"/>
    <w:rsid w:val="00AA3575"/>
    <w:rsid w:val="00AA6086"/>
    <w:rsid w:val="00AA7D30"/>
    <w:rsid w:val="00AB1F87"/>
    <w:rsid w:val="00AB3E8E"/>
    <w:rsid w:val="00AB44C1"/>
    <w:rsid w:val="00AB5655"/>
    <w:rsid w:val="00AD536D"/>
    <w:rsid w:val="00AE1A56"/>
    <w:rsid w:val="00AE339D"/>
    <w:rsid w:val="00AE43A1"/>
    <w:rsid w:val="00AE48EA"/>
    <w:rsid w:val="00AF409E"/>
    <w:rsid w:val="00AF4E62"/>
    <w:rsid w:val="00B0036A"/>
    <w:rsid w:val="00B02E0B"/>
    <w:rsid w:val="00B036A9"/>
    <w:rsid w:val="00B078A0"/>
    <w:rsid w:val="00B11DFC"/>
    <w:rsid w:val="00B15E97"/>
    <w:rsid w:val="00B20B9A"/>
    <w:rsid w:val="00B22FC5"/>
    <w:rsid w:val="00B2677E"/>
    <w:rsid w:val="00B32385"/>
    <w:rsid w:val="00B34B9E"/>
    <w:rsid w:val="00B358CE"/>
    <w:rsid w:val="00B43CA2"/>
    <w:rsid w:val="00B46446"/>
    <w:rsid w:val="00B61DF8"/>
    <w:rsid w:val="00B6205E"/>
    <w:rsid w:val="00B62117"/>
    <w:rsid w:val="00B62A07"/>
    <w:rsid w:val="00B7060A"/>
    <w:rsid w:val="00B72808"/>
    <w:rsid w:val="00B74B06"/>
    <w:rsid w:val="00B75348"/>
    <w:rsid w:val="00B81E86"/>
    <w:rsid w:val="00B85A5A"/>
    <w:rsid w:val="00B932EB"/>
    <w:rsid w:val="00B93DC0"/>
    <w:rsid w:val="00BA0B57"/>
    <w:rsid w:val="00BA5D32"/>
    <w:rsid w:val="00BB307D"/>
    <w:rsid w:val="00BC33A0"/>
    <w:rsid w:val="00BC43F1"/>
    <w:rsid w:val="00BC6959"/>
    <w:rsid w:val="00BC79D8"/>
    <w:rsid w:val="00BD348F"/>
    <w:rsid w:val="00BD39E1"/>
    <w:rsid w:val="00BD6C71"/>
    <w:rsid w:val="00BE1525"/>
    <w:rsid w:val="00BE42EF"/>
    <w:rsid w:val="00BF48DD"/>
    <w:rsid w:val="00BF67E7"/>
    <w:rsid w:val="00C03562"/>
    <w:rsid w:val="00C03B4F"/>
    <w:rsid w:val="00C05501"/>
    <w:rsid w:val="00C10B30"/>
    <w:rsid w:val="00C11641"/>
    <w:rsid w:val="00C11708"/>
    <w:rsid w:val="00C2047F"/>
    <w:rsid w:val="00C22294"/>
    <w:rsid w:val="00C27043"/>
    <w:rsid w:val="00C270DB"/>
    <w:rsid w:val="00C30F1D"/>
    <w:rsid w:val="00C31CB0"/>
    <w:rsid w:val="00C41247"/>
    <w:rsid w:val="00C45338"/>
    <w:rsid w:val="00C603E1"/>
    <w:rsid w:val="00C61E73"/>
    <w:rsid w:val="00C62844"/>
    <w:rsid w:val="00C63125"/>
    <w:rsid w:val="00C63D13"/>
    <w:rsid w:val="00C6400A"/>
    <w:rsid w:val="00C642E4"/>
    <w:rsid w:val="00C664DD"/>
    <w:rsid w:val="00C70614"/>
    <w:rsid w:val="00C76014"/>
    <w:rsid w:val="00C878D7"/>
    <w:rsid w:val="00C90FD8"/>
    <w:rsid w:val="00C96825"/>
    <w:rsid w:val="00CA4370"/>
    <w:rsid w:val="00CA733D"/>
    <w:rsid w:val="00CB11CC"/>
    <w:rsid w:val="00CC0FD2"/>
    <w:rsid w:val="00CC77C4"/>
    <w:rsid w:val="00CD0EAE"/>
    <w:rsid w:val="00CD3287"/>
    <w:rsid w:val="00CE55CE"/>
    <w:rsid w:val="00CF1595"/>
    <w:rsid w:val="00CF3A4A"/>
    <w:rsid w:val="00CF3F1A"/>
    <w:rsid w:val="00CF6D8E"/>
    <w:rsid w:val="00CF7CF1"/>
    <w:rsid w:val="00CF7E2F"/>
    <w:rsid w:val="00D04101"/>
    <w:rsid w:val="00D0597F"/>
    <w:rsid w:val="00D06C6C"/>
    <w:rsid w:val="00D12497"/>
    <w:rsid w:val="00D12643"/>
    <w:rsid w:val="00D14EE8"/>
    <w:rsid w:val="00D15BFB"/>
    <w:rsid w:val="00D16047"/>
    <w:rsid w:val="00D23223"/>
    <w:rsid w:val="00D43987"/>
    <w:rsid w:val="00D467B7"/>
    <w:rsid w:val="00D47037"/>
    <w:rsid w:val="00D516E8"/>
    <w:rsid w:val="00D527C9"/>
    <w:rsid w:val="00D61248"/>
    <w:rsid w:val="00D73619"/>
    <w:rsid w:val="00D8032A"/>
    <w:rsid w:val="00D84A12"/>
    <w:rsid w:val="00D90FAF"/>
    <w:rsid w:val="00DA3B73"/>
    <w:rsid w:val="00DB0811"/>
    <w:rsid w:val="00DB37F8"/>
    <w:rsid w:val="00DC49F9"/>
    <w:rsid w:val="00DC6C94"/>
    <w:rsid w:val="00DC6F73"/>
    <w:rsid w:val="00DC735E"/>
    <w:rsid w:val="00DC776E"/>
    <w:rsid w:val="00DC7CC4"/>
    <w:rsid w:val="00DD2F01"/>
    <w:rsid w:val="00DD63B5"/>
    <w:rsid w:val="00DD731F"/>
    <w:rsid w:val="00DF0156"/>
    <w:rsid w:val="00DF439C"/>
    <w:rsid w:val="00DF6AF0"/>
    <w:rsid w:val="00E0251D"/>
    <w:rsid w:val="00E03179"/>
    <w:rsid w:val="00E061F6"/>
    <w:rsid w:val="00E07A09"/>
    <w:rsid w:val="00E20C56"/>
    <w:rsid w:val="00E22DC3"/>
    <w:rsid w:val="00E3016E"/>
    <w:rsid w:val="00E3375B"/>
    <w:rsid w:val="00E33CEA"/>
    <w:rsid w:val="00E41732"/>
    <w:rsid w:val="00E437CB"/>
    <w:rsid w:val="00E44F7C"/>
    <w:rsid w:val="00E47291"/>
    <w:rsid w:val="00E50A5E"/>
    <w:rsid w:val="00E511B8"/>
    <w:rsid w:val="00E532EF"/>
    <w:rsid w:val="00E54C77"/>
    <w:rsid w:val="00E55525"/>
    <w:rsid w:val="00E55F85"/>
    <w:rsid w:val="00E62FB7"/>
    <w:rsid w:val="00E72B2B"/>
    <w:rsid w:val="00E72E4E"/>
    <w:rsid w:val="00E751CB"/>
    <w:rsid w:val="00E75A92"/>
    <w:rsid w:val="00E75FA4"/>
    <w:rsid w:val="00E77F5F"/>
    <w:rsid w:val="00E80848"/>
    <w:rsid w:val="00E86A3C"/>
    <w:rsid w:val="00E91991"/>
    <w:rsid w:val="00E94E1B"/>
    <w:rsid w:val="00E95439"/>
    <w:rsid w:val="00E97933"/>
    <w:rsid w:val="00EA0EB0"/>
    <w:rsid w:val="00EA33EF"/>
    <w:rsid w:val="00EA3EE5"/>
    <w:rsid w:val="00EA4CAC"/>
    <w:rsid w:val="00EA5BEC"/>
    <w:rsid w:val="00EB16E0"/>
    <w:rsid w:val="00EB4244"/>
    <w:rsid w:val="00EB60B4"/>
    <w:rsid w:val="00EC04CF"/>
    <w:rsid w:val="00EC0F87"/>
    <w:rsid w:val="00EC2B25"/>
    <w:rsid w:val="00ED4EF1"/>
    <w:rsid w:val="00EE0D2A"/>
    <w:rsid w:val="00EE3920"/>
    <w:rsid w:val="00EE485B"/>
    <w:rsid w:val="00EE4994"/>
    <w:rsid w:val="00EF47CC"/>
    <w:rsid w:val="00EF7CF3"/>
    <w:rsid w:val="00F00247"/>
    <w:rsid w:val="00F00909"/>
    <w:rsid w:val="00F019B8"/>
    <w:rsid w:val="00F03DCC"/>
    <w:rsid w:val="00F0442C"/>
    <w:rsid w:val="00F0638D"/>
    <w:rsid w:val="00F066F1"/>
    <w:rsid w:val="00F11EE7"/>
    <w:rsid w:val="00F21AD8"/>
    <w:rsid w:val="00F25E74"/>
    <w:rsid w:val="00F276FF"/>
    <w:rsid w:val="00F31211"/>
    <w:rsid w:val="00F3368C"/>
    <w:rsid w:val="00F34377"/>
    <w:rsid w:val="00F346C9"/>
    <w:rsid w:val="00F44503"/>
    <w:rsid w:val="00F563D1"/>
    <w:rsid w:val="00F628F3"/>
    <w:rsid w:val="00F6326D"/>
    <w:rsid w:val="00F65131"/>
    <w:rsid w:val="00F7144F"/>
    <w:rsid w:val="00F73FCB"/>
    <w:rsid w:val="00F74AFA"/>
    <w:rsid w:val="00F759FE"/>
    <w:rsid w:val="00F75B3C"/>
    <w:rsid w:val="00F82EDF"/>
    <w:rsid w:val="00F8321E"/>
    <w:rsid w:val="00F942C2"/>
    <w:rsid w:val="00F966E2"/>
    <w:rsid w:val="00FA17CE"/>
    <w:rsid w:val="00FA5724"/>
    <w:rsid w:val="00FA58C3"/>
    <w:rsid w:val="00FA658A"/>
    <w:rsid w:val="00FB0891"/>
    <w:rsid w:val="00FB12ED"/>
    <w:rsid w:val="00FB1BA2"/>
    <w:rsid w:val="00FB1EBF"/>
    <w:rsid w:val="00FB32E7"/>
    <w:rsid w:val="00FB346F"/>
    <w:rsid w:val="00FC27F6"/>
    <w:rsid w:val="00FD2FCB"/>
    <w:rsid w:val="00FD7997"/>
    <w:rsid w:val="00FD7FD3"/>
    <w:rsid w:val="00FE11C5"/>
    <w:rsid w:val="00FE46C1"/>
    <w:rsid w:val="00FE6969"/>
    <w:rsid w:val="00FF01F9"/>
    <w:rsid w:val="00FF38D7"/>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5F563C9"/>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AEC7CB6B-E5E4-4E49-84D6-D3F47E27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paragraph" w:customStyle="1" w:styleId="Default">
    <w:name w:val="Default"/>
    <w:rsid w:val="0067346A"/>
    <w:pPr>
      <w:autoSpaceDE w:val="0"/>
      <w:autoSpaceDN w:val="0"/>
      <w:adjustRightInd w:val="0"/>
      <w:spacing w:after="0" w:line="240" w:lineRule="auto"/>
    </w:pPr>
    <w:rPr>
      <w:rFonts w:ascii="Arial" w:hAnsi="Arial" w:cs="Arial"/>
      <w:color w:val="000000"/>
      <w:sz w:val="24"/>
      <w:szCs w:val="24"/>
      <w:lang w:val="en-IE"/>
    </w:rPr>
  </w:style>
  <w:style w:type="paragraph" w:styleId="FootnoteText">
    <w:name w:val="footnote text"/>
    <w:basedOn w:val="Normal"/>
    <w:link w:val="FootnoteTextChar"/>
    <w:uiPriority w:val="99"/>
    <w:semiHidden/>
    <w:unhideWhenUsed/>
    <w:rsid w:val="00600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3A7"/>
    <w:rPr>
      <w:sz w:val="20"/>
      <w:szCs w:val="20"/>
    </w:rPr>
  </w:style>
  <w:style w:type="character" w:styleId="FootnoteReference">
    <w:name w:val="footnote reference"/>
    <w:basedOn w:val="DefaultParagraphFont"/>
    <w:uiPriority w:val="99"/>
    <w:unhideWhenUsed/>
    <w:rsid w:val="006003A7"/>
    <w:rPr>
      <w:vertAlign w:val="superscript"/>
    </w:rPr>
  </w:style>
  <w:style w:type="table" w:customStyle="1" w:styleId="TableGrid1">
    <w:name w:val="Table Grid1"/>
    <w:basedOn w:val="TableNormal"/>
    <w:next w:val="TableGrid"/>
    <w:uiPriority w:val="39"/>
    <w:rsid w:val="000451B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enterprise-ireland.com" TargetMode="External"/><Relationship Id="rId18" Type="http://schemas.openxmlformats.org/officeDocument/2006/relationships/hyperlink" Target="mailto:IndustryGrantClaims@enterprise-ireland.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terprise-ireland.com/en/Process/Companies/Strategic-Consultancy-Grant-Claim-Forms.html" TargetMode="External"/><Relationship Id="rId2" Type="http://schemas.openxmlformats.org/officeDocument/2006/relationships/customXml" Target="../customXml/item2.xml"/><Relationship Id="rId16" Type="http://schemas.openxmlformats.org/officeDocument/2006/relationships/hyperlink" Target="mailto:green@enterprise-irelan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een@enterprise-ireland.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ireland.com/en/supports/strategic-consultancy-assig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customXml/itemProps2.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3.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4.xml><?xml version="1.0" encoding="utf-8"?>
<ds:datastoreItem xmlns:ds="http://schemas.openxmlformats.org/officeDocument/2006/customXml" ds:itemID="{9CF4E30F-852A-4B5D-B023-6E23BFDD3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Links>
    <vt:vector size="72" baseType="variant">
      <vt:variant>
        <vt:i4>4587591</vt:i4>
      </vt:variant>
      <vt:variant>
        <vt:i4>33</vt:i4>
      </vt:variant>
      <vt:variant>
        <vt:i4>0</vt:i4>
      </vt:variant>
      <vt:variant>
        <vt:i4>5</vt:i4>
      </vt:variant>
      <vt:variant>
        <vt:lpwstr>https://www.enterprise-ireland.com/en/Productivity/Build-a-green-sustainable-Business/GreenStart/</vt:lpwstr>
      </vt:variant>
      <vt:variant>
        <vt:lpwstr/>
      </vt:variant>
      <vt:variant>
        <vt:i4>1310813</vt:i4>
      </vt:variant>
      <vt:variant>
        <vt:i4>30</vt:i4>
      </vt:variant>
      <vt:variant>
        <vt:i4>0</vt:i4>
      </vt:variant>
      <vt:variant>
        <vt:i4>5</vt:i4>
      </vt:variant>
      <vt:variant>
        <vt:lpwstr>https://www.seai.ie/business-and-public-sector/small-and-medium-business/supports/energy-audits/</vt:lpwstr>
      </vt:variant>
      <vt:variant>
        <vt:lpwstr/>
      </vt:variant>
      <vt:variant>
        <vt:i4>2228322</vt:i4>
      </vt:variant>
      <vt:variant>
        <vt:i4>27</vt:i4>
      </vt:variant>
      <vt:variant>
        <vt:i4>0</vt:i4>
      </vt:variant>
      <vt:variant>
        <vt:i4>5</vt:i4>
      </vt:variant>
      <vt:variant>
        <vt:lpwstr>https://www.seai.ie/energyacademy/</vt:lpwstr>
      </vt:variant>
      <vt:variant>
        <vt:lpwstr/>
      </vt:variant>
      <vt:variant>
        <vt:i4>4128866</vt:i4>
      </vt:variant>
      <vt:variant>
        <vt:i4>24</vt:i4>
      </vt:variant>
      <vt:variant>
        <vt:i4>0</vt:i4>
      </vt:variant>
      <vt:variant>
        <vt:i4>5</vt:i4>
      </vt:variant>
      <vt:variant>
        <vt:lpwstr>https://www.climatetoolkit4business.gov.ie/</vt:lpwstr>
      </vt:variant>
      <vt:variant>
        <vt:lpwstr/>
      </vt:variant>
      <vt:variant>
        <vt:i4>4587591</vt:i4>
      </vt:variant>
      <vt:variant>
        <vt:i4>21</vt:i4>
      </vt:variant>
      <vt:variant>
        <vt:i4>0</vt:i4>
      </vt:variant>
      <vt:variant>
        <vt:i4>5</vt:i4>
      </vt:variant>
      <vt:variant>
        <vt:lpwstr>https://www.enterprise-ireland.com/en/Productivity/Build-a-green-sustainable-Business/GreenStart/</vt:lpwstr>
      </vt:variant>
      <vt:variant>
        <vt:lpwstr/>
      </vt:variant>
      <vt:variant>
        <vt:i4>7143479</vt:i4>
      </vt:variant>
      <vt:variant>
        <vt:i4>18</vt:i4>
      </vt:variant>
      <vt:variant>
        <vt:i4>0</vt:i4>
      </vt:variant>
      <vt:variant>
        <vt:i4>5</vt:i4>
      </vt:variant>
      <vt:variant>
        <vt:lpwstr>http://www.levelproject.ie/</vt:lpwstr>
      </vt:variant>
      <vt:variant>
        <vt:lpwstr/>
      </vt:variant>
      <vt:variant>
        <vt:i4>7340032</vt:i4>
      </vt:variant>
      <vt:variant>
        <vt:i4>15</vt:i4>
      </vt:variant>
      <vt:variant>
        <vt:i4>0</vt:i4>
      </vt:variant>
      <vt:variant>
        <vt:i4>5</vt:i4>
      </vt:variant>
      <vt:variant>
        <vt:lpwstr>mailto:green@enterprise-ireland.com</vt:lpwstr>
      </vt:variant>
      <vt:variant>
        <vt:lpwstr/>
      </vt:variant>
      <vt:variant>
        <vt:i4>5832777</vt:i4>
      </vt:variant>
      <vt:variant>
        <vt:i4>12</vt:i4>
      </vt:variant>
      <vt:variant>
        <vt:i4>0</vt:i4>
      </vt:variant>
      <vt:variant>
        <vt:i4>5</vt:i4>
      </vt:variant>
      <vt:variant>
        <vt:lpwstr>https://www.leanbusinessireland.ie/wp-content/uploads/2022/06/Strategic-Consultancy-Plan.xlsx</vt:lpwstr>
      </vt:variant>
      <vt:variant>
        <vt:lpwstr/>
      </vt:variant>
      <vt:variant>
        <vt:i4>1310834</vt:i4>
      </vt:variant>
      <vt:variant>
        <vt:i4>9</vt:i4>
      </vt:variant>
      <vt:variant>
        <vt:i4>0</vt:i4>
      </vt:variant>
      <vt:variant>
        <vt:i4>5</vt:i4>
      </vt:variant>
      <vt:variant>
        <vt:lpwstr>mailto:IndustryGrantClaims@enterprise-ireland.com</vt:lpwstr>
      </vt:variant>
      <vt:variant>
        <vt:lpwstr/>
      </vt:variant>
      <vt:variant>
        <vt:i4>4325398</vt:i4>
      </vt:variant>
      <vt:variant>
        <vt:i4>6</vt:i4>
      </vt:variant>
      <vt:variant>
        <vt:i4>0</vt:i4>
      </vt:variant>
      <vt:variant>
        <vt:i4>5</vt:i4>
      </vt:variant>
      <vt:variant>
        <vt:lpwstr>https://www.enterprise-ireland.com/en/Process/Companies/Strategic-Consultancy-Grant-Claim-Forms.html</vt:lpwstr>
      </vt:variant>
      <vt:variant>
        <vt:lpwstr/>
      </vt:variant>
      <vt:variant>
        <vt:i4>7340032</vt:i4>
      </vt:variant>
      <vt:variant>
        <vt:i4>3</vt:i4>
      </vt:variant>
      <vt:variant>
        <vt:i4>0</vt:i4>
      </vt:variant>
      <vt:variant>
        <vt:i4>5</vt:i4>
      </vt:variant>
      <vt:variant>
        <vt:lpwstr>mailto:green@enterprise-ireland.com</vt:lpwstr>
      </vt:variant>
      <vt:variant>
        <vt:lpwstr/>
      </vt:variant>
      <vt:variant>
        <vt:i4>5832777</vt:i4>
      </vt:variant>
      <vt:variant>
        <vt:i4>0</vt:i4>
      </vt:variant>
      <vt:variant>
        <vt:i4>0</vt:i4>
      </vt:variant>
      <vt:variant>
        <vt:i4>5</vt:i4>
      </vt:variant>
      <vt:variant>
        <vt:lpwstr>https://www.leanbusinessireland.ie/wp-content/uploads/2022/06/Strategic-Consultancy-Plan.xlsx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45</cp:revision>
  <dcterms:created xsi:type="dcterms:W3CDTF">2023-11-16T16:37:00Z</dcterms:created>
  <dcterms:modified xsi:type="dcterms:W3CDTF">2025-07-23T09:41:00Z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-370798606</vt:i4>
  </property>
  <property fmtid="{D5CDD505-2E9C-101B-9397-08002B2CF9AE}" pid="11" name="_NewReviewCycle">
    <vt:lpwstr/>
  </property>
  <property fmtid="{D5CDD505-2E9C-101B-9397-08002B2CF9AE}" pid="12" name="_EmailSubject">
    <vt:lpwstr>Green updates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