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3527" w14:textId="77777777" w:rsidR="00EF5E52" w:rsidRDefault="00EF5E52"/>
    <w:p w14:paraId="62074E09" w14:textId="77777777" w:rsidR="003F030F" w:rsidRPr="003F030F" w:rsidRDefault="003F030F" w:rsidP="003F030F">
      <w:pPr>
        <w:spacing w:after="0" w:line="240" w:lineRule="auto"/>
        <w:outlineLvl w:val="4"/>
        <w:rPr>
          <w:rFonts w:ascii="Mabry Pro" w:eastAsia="Times New Roman" w:hAnsi="Mabry Pro" w:cs="Times New Roman"/>
          <w:b/>
          <w:bCs/>
          <w:color w:val="212529"/>
          <w:kern w:val="0"/>
          <w:sz w:val="24"/>
          <w:szCs w:val="24"/>
          <w:lang w:eastAsia="en-IE"/>
          <w14:ligatures w14:val="none"/>
        </w:rPr>
      </w:pPr>
      <w:r w:rsidRPr="003F030F">
        <w:rPr>
          <w:rFonts w:ascii="Mabry Pro" w:eastAsia="Times New Roman" w:hAnsi="Mabry Pro" w:cs="Times New Roman"/>
          <w:b/>
          <w:bCs/>
          <w:color w:val="212529"/>
          <w:kern w:val="0"/>
          <w:sz w:val="24"/>
          <w:szCs w:val="24"/>
          <w:lang w:eastAsia="en-IE"/>
          <w14:ligatures w14:val="none"/>
        </w:rPr>
        <w:t>Environmental Compliance and Do No Significant Harm</w:t>
      </w:r>
    </w:p>
    <w:p w14:paraId="0EEAD558" w14:textId="77777777" w:rsidR="003F030F" w:rsidRDefault="003F030F" w:rsidP="003F030F">
      <w:pPr>
        <w:spacing w:after="100" w:afterAutospacing="1" w:line="240" w:lineRule="auto"/>
        <w:rPr>
          <w:rFonts w:ascii="Mabry Pro" w:eastAsia="Times New Roman" w:hAnsi="Mabry Pro" w:cs="Times New Roman"/>
          <w:color w:val="525655"/>
          <w:kern w:val="0"/>
          <w:sz w:val="24"/>
          <w:szCs w:val="24"/>
          <w:lang w:eastAsia="en-IE"/>
          <w14:ligatures w14:val="none"/>
        </w:rPr>
      </w:pPr>
    </w:p>
    <w:p w14:paraId="4AF9BBB4" w14:textId="34F0E6E4" w:rsidR="003F030F" w:rsidRPr="003F030F" w:rsidRDefault="003F030F" w:rsidP="003F030F">
      <w:pPr>
        <w:spacing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 xml:space="preserve">All projects supported under the </w:t>
      </w:r>
      <w:r w:rsidR="002E6AE8">
        <w:rPr>
          <w:rFonts w:ascii="Mabry Pro" w:eastAsia="Times New Roman" w:hAnsi="Mabry Pro" w:cs="Times New Roman"/>
          <w:color w:val="525655"/>
          <w:kern w:val="0"/>
          <w:sz w:val="24"/>
          <w:szCs w:val="24"/>
          <w:lang w:eastAsia="en-IE"/>
          <w14:ligatures w14:val="none"/>
        </w:rPr>
        <w:t>Green Transition Fund</w:t>
      </w:r>
      <w:r w:rsidR="00C52430">
        <w:rPr>
          <w:rFonts w:ascii="Mabry Pro" w:eastAsia="Times New Roman" w:hAnsi="Mabry Pro" w:cs="Times New Roman"/>
          <w:color w:val="525655"/>
          <w:kern w:val="0"/>
          <w:sz w:val="24"/>
          <w:szCs w:val="24"/>
          <w:lang w:eastAsia="en-IE"/>
          <w14:ligatures w14:val="none"/>
        </w:rPr>
        <w:t xml:space="preserve"> </w:t>
      </w:r>
      <w:r w:rsidRPr="003F030F">
        <w:rPr>
          <w:rFonts w:ascii="Mabry Pro" w:eastAsia="Times New Roman" w:hAnsi="Mabry Pro" w:cs="Times New Roman"/>
          <w:color w:val="525655"/>
          <w:kern w:val="0"/>
          <w:sz w:val="24"/>
          <w:szCs w:val="24"/>
          <w:lang w:eastAsia="en-IE"/>
          <w14:ligatures w14:val="none"/>
        </w:rPr>
        <w:t>must comply with relevant EU and national environmental legislation and in particular with the </w:t>
      </w:r>
      <w:r w:rsidRPr="003F030F">
        <w:rPr>
          <w:rFonts w:ascii="Mabry Pro" w:eastAsia="Times New Roman" w:hAnsi="Mabry Pro" w:cs="Times New Roman"/>
          <w:color w:val="008577"/>
          <w:kern w:val="0"/>
          <w:sz w:val="24"/>
          <w:szCs w:val="24"/>
          <w:u w:val="single"/>
          <w:lang w:eastAsia="en-IE"/>
          <w14:ligatures w14:val="none"/>
        </w:rPr>
        <w:t>‘</w:t>
      </w:r>
      <w:hyperlink r:id="rId5" w:history="1">
        <w:r w:rsidRPr="002027DC">
          <w:rPr>
            <w:rStyle w:val="Hyperlink"/>
            <w:rFonts w:ascii="Mabry Pro" w:eastAsia="Times New Roman" w:hAnsi="Mabry Pro" w:cs="Times New Roman"/>
            <w:kern w:val="0"/>
            <w:sz w:val="24"/>
            <w:szCs w:val="24"/>
            <w:lang w:eastAsia="en-IE"/>
            <w14:ligatures w14:val="none"/>
          </w:rPr>
          <w:t>Do no significant harm’ Technical Guidance (2021/C58/01)</w:t>
        </w:r>
      </w:hyperlink>
      <w:r w:rsidRPr="003F030F">
        <w:rPr>
          <w:rFonts w:ascii="Mabry Pro" w:eastAsia="Times New Roman" w:hAnsi="Mabry Pro" w:cs="Times New Roman"/>
          <w:color w:val="525655"/>
          <w:kern w:val="0"/>
          <w:sz w:val="24"/>
          <w:szCs w:val="24"/>
          <w:lang w:eastAsia="en-IE"/>
          <w14:ligatures w14:val="none"/>
        </w:rPr>
        <w:t>.</w:t>
      </w:r>
    </w:p>
    <w:p w14:paraId="69A2BE7B" w14:textId="77777777" w:rsidR="003F030F" w:rsidRPr="003F030F" w:rsidRDefault="003F030F" w:rsidP="003F030F">
      <w:pPr>
        <w:spacing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Specifically the following projects are not eligible:</w:t>
      </w:r>
    </w:p>
    <w:p w14:paraId="23726993" w14:textId="77777777" w:rsidR="003F030F" w:rsidRPr="003F030F" w:rsidRDefault="003F030F" w:rsidP="003F030F">
      <w:pPr>
        <w:numPr>
          <w:ilvl w:val="0"/>
          <w:numId w:val="1"/>
        </w:numPr>
        <w:spacing w:before="100" w:beforeAutospacing="1"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activities related to fossil fuels, including downstream use</w:t>
      </w:r>
      <w:r w:rsidRPr="003F030F">
        <w:rPr>
          <w:rFonts w:ascii="Mabry Pro" w:eastAsia="Times New Roman" w:hAnsi="Mabry Pro" w:cs="Times New Roman"/>
          <w:b/>
          <w:bCs/>
          <w:color w:val="525655"/>
          <w:kern w:val="0"/>
          <w:sz w:val="18"/>
          <w:szCs w:val="18"/>
          <w:vertAlign w:val="superscript"/>
          <w:lang w:eastAsia="en-IE"/>
          <w14:ligatures w14:val="none"/>
        </w:rPr>
        <w:t>1</w:t>
      </w:r>
      <w:r w:rsidRPr="003F030F">
        <w:rPr>
          <w:rFonts w:ascii="Mabry Pro" w:eastAsia="Times New Roman" w:hAnsi="Mabry Pro" w:cs="Times New Roman"/>
          <w:color w:val="525655"/>
          <w:kern w:val="0"/>
          <w:sz w:val="24"/>
          <w:szCs w:val="24"/>
          <w:lang w:eastAsia="en-IE"/>
          <w14:ligatures w14:val="none"/>
        </w:rPr>
        <w:t>;</w:t>
      </w:r>
    </w:p>
    <w:p w14:paraId="7748EDA9" w14:textId="77777777" w:rsidR="003F030F" w:rsidRPr="003F030F" w:rsidRDefault="003F030F" w:rsidP="003F030F">
      <w:pPr>
        <w:numPr>
          <w:ilvl w:val="0"/>
          <w:numId w:val="1"/>
        </w:numPr>
        <w:spacing w:before="100" w:beforeAutospacing="1"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activities under the EU Emission Trading System (ETS) achieving projected greenhouse gas emissions that are not lower than the relevant benchmarks</w:t>
      </w:r>
      <w:r w:rsidRPr="003F030F">
        <w:rPr>
          <w:rFonts w:ascii="Mabry Pro" w:eastAsia="Times New Roman" w:hAnsi="Mabry Pro" w:cs="Times New Roman"/>
          <w:b/>
          <w:bCs/>
          <w:color w:val="525655"/>
          <w:kern w:val="0"/>
          <w:sz w:val="18"/>
          <w:szCs w:val="18"/>
          <w:vertAlign w:val="superscript"/>
          <w:lang w:eastAsia="en-IE"/>
          <w14:ligatures w14:val="none"/>
        </w:rPr>
        <w:t>2</w:t>
      </w:r>
      <w:r w:rsidRPr="003F030F">
        <w:rPr>
          <w:rFonts w:ascii="Mabry Pro" w:eastAsia="Times New Roman" w:hAnsi="Mabry Pro" w:cs="Times New Roman"/>
          <w:color w:val="525655"/>
          <w:kern w:val="0"/>
          <w:sz w:val="24"/>
          <w:szCs w:val="24"/>
          <w:lang w:eastAsia="en-IE"/>
          <w14:ligatures w14:val="none"/>
        </w:rPr>
        <w:t>;</w:t>
      </w:r>
    </w:p>
    <w:p w14:paraId="43D2749D" w14:textId="77777777" w:rsidR="003F030F" w:rsidRPr="003F030F" w:rsidRDefault="003F030F" w:rsidP="003F030F">
      <w:pPr>
        <w:numPr>
          <w:ilvl w:val="0"/>
          <w:numId w:val="1"/>
        </w:numPr>
        <w:spacing w:before="100" w:beforeAutospacing="1"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activities related to waste landfills, incinerators</w:t>
      </w:r>
      <w:r w:rsidRPr="003F030F">
        <w:rPr>
          <w:rFonts w:ascii="Mabry Pro" w:eastAsia="Times New Roman" w:hAnsi="Mabry Pro" w:cs="Times New Roman"/>
          <w:b/>
          <w:bCs/>
          <w:color w:val="525655"/>
          <w:kern w:val="0"/>
          <w:sz w:val="18"/>
          <w:szCs w:val="18"/>
          <w:vertAlign w:val="superscript"/>
          <w:lang w:eastAsia="en-IE"/>
          <w14:ligatures w14:val="none"/>
        </w:rPr>
        <w:t>3</w:t>
      </w:r>
      <w:r w:rsidRPr="003F030F">
        <w:rPr>
          <w:rFonts w:ascii="Mabry Pro" w:eastAsia="Times New Roman" w:hAnsi="Mabry Pro" w:cs="Times New Roman"/>
          <w:color w:val="525655"/>
          <w:kern w:val="0"/>
          <w:sz w:val="24"/>
          <w:szCs w:val="24"/>
          <w:lang w:eastAsia="en-IE"/>
          <w14:ligatures w14:val="none"/>
        </w:rPr>
        <w:t> and mechanical biological treatment plants</w:t>
      </w:r>
      <w:r w:rsidRPr="003F030F">
        <w:rPr>
          <w:rFonts w:ascii="Mabry Pro" w:eastAsia="Times New Roman" w:hAnsi="Mabry Pro" w:cs="Times New Roman"/>
          <w:b/>
          <w:bCs/>
          <w:color w:val="525655"/>
          <w:kern w:val="0"/>
          <w:sz w:val="18"/>
          <w:szCs w:val="18"/>
          <w:vertAlign w:val="superscript"/>
          <w:lang w:eastAsia="en-IE"/>
          <w14:ligatures w14:val="none"/>
        </w:rPr>
        <w:t>4</w:t>
      </w:r>
      <w:r w:rsidRPr="003F030F">
        <w:rPr>
          <w:rFonts w:ascii="Mabry Pro" w:eastAsia="Times New Roman" w:hAnsi="Mabry Pro" w:cs="Times New Roman"/>
          <w:color w:val="525655"/>
          <w:kern w:val="0"/>
          <w:sz w:val="24"/>
          <w:szCs w:val="24"/>
          <w:lang w:eastAsia="en-IE"/>
          <w14:ligatures w14:val="none"/>
        </w:rPr>
        <w:t>; and</w:t>
      </w:r>
    </w:p>
    <w:p w14:paraId="7BD08D90" w14:textId="77777777" w:rsidR="003F030F" w:rsidRPr="003F030F" w:rsidRDefault="003F030F" w:rsidP="003F030F">
      <w:pPr>
        <w:numPr>
          <w:ilvl w:val="0"/>
          <w:numId w:val="1"/>
        </w:numPr>
        <w:spacing w:before="100" w:beforeAutospacing="1"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activities where the long-term disposal of waste may cause harm to the environment.</w:t>
      </w:r>
    </w:p>
    <w:p w14:paraId="0AD3C80C" w14:textId="77777777" w:rsidR="003F030F" w:rsidRPr="003F030F" w:rsidRDefault="003F030F" w:rsidP="003F030F">
      <w:pPr>
        <w:numPr>
          <w:ilvl w:val="0"/>
          <w:numId w:val="2"/>
        </w:numPr>
        <w:spacing w:before="100" w:beforeAutospacing="1"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Except projects under this measure in power and/or heat generation, as well as related transmission and distribution infrastructure, using natural gas, that are compliant with the conditions set out in Annex III of the ‘Do no significant harm’ Technical Guidance (2021/C58/01).</w:t>
      </w:r>
    </w:p>
    <w:p w14:paraId="79AE3C36" w14:textId="77777777" w:rsidR="003F030F" w:rsidRPr="003F030F" w:rsidRDefault="003F030F" w:rsidP="003F030F">
      <w:pPr>
        <w:numPr>
          <w:ilvl w:val="0"/>
          <w:numId w:val="2"/>
        </w:numPr>
        <w:spacing w:before="100" w:beforeAutospacing="1"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p w14:paraId="2C48EB3D" w14:textId="77777777" w:rsidR="003F030F" w:rsidRPr="003F030F" w:rsidRDefault="003F030F" w:rsidP="003F030F">
      <w:pPr>
        <w:numPr>
          <w:ilvl w:val="0"/>
          <w:numId w:val="2"/>
        </w:numPr>
        <w:spacing w:before="100" w:beforeAutospacing="1"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p w14:paraId="04755450" w14:textId="77777777" w:rsidR="003F030F" w:rsidRPr="003F030F" w:rsidRDefault="003F030F" w:rsidP="003F030F">
      <w:pPr>
        <w:numPr>
          <w:ilvl w:val="0"/>
          <w:numId w:val="2"/>
        </w:numPr>
        <w:spacing w:before="100" w:beforeAutospacing="1" w:after="100" w:afterAutospacing="1" w:line="240" w:lineRule="auto"/>
        <w:rPr>
          <w:rFonts w:ascii="Mabry Pro" w:eastAsia="Times New Roman" w:hAnsi="Mabry Pro" w:cs="Times New Roman"/>
          <w:color w:val="525655"/>
          <w:kern w:val="0"/>
          <w:sz w:val="24"/>
          <w:szCs w:val="24"/>
          <w:lang w:eastAsia="en-IE"/>
          <w14:ligatures w14:val="none"/>
        </w:rPr>
      </w:pPr>
      <w:r w:rsidRPr="003F030F">
        <w:rPr>
          <w:rFonts w:ascii="Mabry Pro" w:eastAsia="Times New Roman" w:hAnsi="Mabry Pro" w:cs="Times New Roman"/>
          <w:color w:val="525655"/>
          <w:kern w:val="0"/>
          <w:sz w:val="24"/>
          <w:szCs w:val="24"/>
          <w:lang w:eastAsia="en-IE"/>
          <w14:ligatures w14:val="none"/>
        </w:rPr>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p w14:paraId="3B540F8E" w14:textId="77777777" w:rsidR="003F030F" w:rsidRDefault="003F030F"/>
    <w:sectPr w:rsidR="003F0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bry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3F9F"/>
    <w:multiLevelType w:val="multilevel"/>
    <w:tmpl w:val="E56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01F09"/>
    <w:multiLevelType w:val="multilevel"/>
    <w:tmpl w:val="9A06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112724">
    <w:abstractNumId w:val="0"/>
  </w:num>
  <w:num w:numId="2" w16cid:durableId="686950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0F"/>
    <w:rsid w:val="002027DC"/>
    <w:rsid w:val="002E6AE8"/>
    <w:rsid w:val="003F030F"/>
    <w:rsid w:val="00C52430"/>
    <w:rsid w:val="00EF5E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D11D"/>
  <w15:chartTrackingRefBased/>
  <w15:docId w15:val="{EF29D5F9-6297-4B4F-AA06-C88151AE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F030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F030F"/>
    <w:rPr>
      <w:rFonts w:ascii="Times New Roman" w:eastAsia="Times New Roman" w:hAnsi="Times New Roman" w:cs="Times New Roman"/>
      <w:b/>
      <w:bCs/>
      <w:kern w:val="0"/>
      <w:sz w:val="20"/>
      <w:szCs w:val="20"/>
      <w:lang w:eastAsia="en-IE"/>
      <w14:ligatures w14:val="none"/>
    </w:rPr>
  </w:style>
  <w:style w:type="paragraph" w:styleId="NormalWeb">
    <w:name w:val="Normal (Web)"/>
    <w:basedOn w:val="Normal"/>
    <w:uiPriority w:val="99"/>
    <w:semiHidden/>
    <w:unhideWhenUsed/>
    <w:rsid w:val="003F030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3F030F"/>
    <w:rPr>
      <w:color w:val="0000FF"/>
      <w:u w:val="single"/>
    </w:rPr>
  </w:style>
  <w:style w:type="character" w:styleId="Strong">
    <w:name w:val="Strong"/>
    <w:basedOn w:val="DefaultParagraphFont"/>
    <w:uiPriority w:val="22"/>
    <w:qFormat/>
    <w:rsid w:val="003F030F"/>
    <w:rPr>
      <w:b/>
      <w:bCs/>
    </w:rPr>
  </w:style>
  <w:style w:type="character" w:styleId="UnresolvedMention">
    <w:name w:val="Unresolved Mention"/>
    <w:basedOn w:val="DefaultParagraphFont"/>
    <w:uiPriority w:val="99"/>
    <w:semiHidden/>
    <w:unhideWhenUsed/>
    <w:rsid w:val="00202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27546">
      <w:bodyDiv w:val="1"/>
      <w:marLeft w:val="0"/>
      <w:marRight w:val="0"/>
      <w:marTop w:val="0"/>
      <w:marBottom w:val="0"/>
      <w:divBdr>
        <w:top w:val="none" w:sz="0" w:space="0" w:color="auto"/>
        <w:left w:val="none" w:sz="0" w:space="0" w:color="auto"/>
        <w:bottom w:val="none" w:sz="0" w:space="0" w:color="auto"/>
        <w:right w:val="none" w:sz="0" w:space="0" w:color="auto"/>
      </w:divBdr>
      <w:divsChild>
        <w:div w:id="263736010">
          <w:marLeft w:val="0"/>
          <w:marRight w:val="0"/>
          <w:marTop w:val="0"/>
          <w:marBottom w:val="0"/>
          <w:divBdr>
            <w:top w:val="none" w:sz="0" w:space="0" w:color="auto"/>
            <w:left w:val="none" w:sz="0" w:space="0" w:color="auto"/>
            <w:bottom w:val="none" w:sz="0" w:space="0" w:color="auto"/>
            <w:right w:val="none" w:sz="0" w:space="0" w:color="auto"/>
          </w:divBdr>
          <w:divsChild>
            <w:div w:id="12369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lex.europa.eu/legal-content/EN/TXT/?uri=CELEX%3A52021XC0218%2801%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2178</Characters>
  <Application>Microsoft Office Word</Application>
  <DocSecurity>0</DocSecurity>
  <Lines>18</Lines>
  <Paragraphs>5</Paragraphs>
  <ScaleCrop>false</ScaleCrop>
  <Company>Enterprise Ireland</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Fanning, Catherine</dc:creator>
  <cp:keywords/>
  <dc:description/>
  <cp:lastModifiedBy>Fanning, Catherine</cp:lastModifiedBy>
  <cp:revision>4</cp:revision>
  <dcterms:created xsi:type="dcterms:W3CDTF">2025-01-29T13:01:00Z</dcterms:created>
  <dcterms:modified xsi:type="dcterms:W3CDTF">2025-01-30T10:16:00Z</dcterms:modified>
</cp:coreProperties>
</file>